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075" w:rsidRPr="00455075" w:rsidRDefault="00455075" w:rsidP="00455075">
      <w:pPr>
        <w:rPr>
          <w:b/>
          <w:sz w:val="32"/>
          <w:szCs w:val="32"/>
        </w:rPr>
      </w:pPr>
      <w:r w:rsidRPr="00455075">
        <w:rPr>
          <w:b/>
          <w:sz w:val="32"/>
          <w:szCs w:val="32"/>
        </w:rPr>
        <w:t xml:space="preserve">On 5/7/2018 1:42 PM, Rebecca Higgerson via </w:t>
      </w:r>
      <w:proofErr w:type="spellStart"/>
      <w:r w:rsidRPr="00455075">
        <w:rPr>
          <w:b/>
          <w:sz w:val="32"/>
          <w:szCs w:val="32"/>
        </w:rPr>
        <w:t>Michlib-l</w:t>
      </w:r>
      <w:proofErr w:type="spellEnd"/>
      <w:r w:rsidRPr="00455075">
        <w:rPr>
          <w:b/>
          <w:sz w:val="32"/>
          <w:szCs w:val="32"/>
        </w:rPr>
        <w:t xml:space="preserve"> wrote:</w:t>
      </w:r>
    </w:p>
    <w:p w:rsidR="00455075" w:rsidRDefault="00455075" w:rsidP="00455075">
      <w:r>
        <w:t xml:space="preserve">Does anyone have a </w:t>
      </w:r>
      <w:r>
        <w:rPr>
          <w:u w:val="single"/>
        </w:rPr>
        <w:t>policy</w:t>
      </w:r>
      <w:r>
        <w:t xml:space="preserve"> they would be willing to share that specifically addresses the library’s contingency or fund balance?  Does it include a specific percentage of the budget that you have deemed should be in reserve?</w:t>
      </w:r>
    </w:p>
    <w:p w:rsidR="00455075" w:rsidRDefault="00455075" w:rsidP="00455075">
      <w:r>
        <w:t> Thanks in advance!</w:t>
      </w:r>
    </w:p>
    <w:p w:rsidR="00455075" w:rsidRDefault="00455075" w:rsidP="00455075">
      <w:r>
        <w:t> </w:t>
      </w:r>
      <w:r>
        <w:rPr>
          <w:rFonts w:ascii="Segoe Script" w:hAnsi="Segoe Script"/>
          <w:b/>
          <w:bCs/>
        </w:rPr>
        <w:t>Rebecca Higgerson</w:t>
      </w:r>
    </w:p>
    <w:p w:rsidR="00455075" w:rsidRDefault="00455075" w:rsidP="00455075">
      <w:r>
        <w:rPr>
          <w:rFonts w:ascii="Verdana" w:hAnsi="Verdana"/>
          <w:sz w:val="18"/>
          <w:szCs w:val="18"/>
        </w:rPr>
        <w:t>Director</w:t>
      </w:r>
    </w:p>
    <w:p w:rsidR="00455075" w:rsidRDefault="00455075" w:rsidP="00455075">
      <w:r>
        <w:rPr>
          <w:rFonts w:ascii="Verdana" w:hAnsi="Verdana"/>
          <w:sz w:val="18"/>
          <w:szCs w:val="18"/>
        </w:rPr>
        <w:t xml:space="preserve">Brandon </w:t>
      </w:r>
      <w:proofErr w:type="spellStart"/>
      <w:r>
        <w:rPr>
          <w:rFonts w:ascii="Verdana" w:hAnsi="Verdana"/>
          <w:sz w:val="18"/>
          <w:szCs w:val="18"/>
        </w:rPr>
        <w:t>Twp</w:t>
      </w:r>
      <w:proofErr w:type="spellEnd"/>
      <w:r>
        <w:rPr>
          <w:rFonts w:ascii="Verdana" w:hAnsi="Verdana"/>
          <w:sz w:val="18"/>
          <w:szCs w:val="18"/>
        </w:rPr>
        <w:t xml:space="preserve"> Public Library</w:t>
      </w:r>
    </w:p>
    <w:p w:rsidR="00455075" w:rsidRPr="00455075" w:rsidRDefault="00455075" w:rsidP="007946E9">
      <w:pPr>
        <w:pStyle w:val="NormalWeb"/>
        <w:rPr>
          <w:b/>
          <w:sz w:val="32"/>
          <w:szCs w:val="32"/>
        </w:rPr>
      </w:pPr>
      <w:r w:rsidRPr="00455075">
        <w:rPr>
          <w:b/>
          <w:sz w:val="32"/>
          <w:szCs w:val="32"/>
        </w:rPr>
        <w:t>RESPONSES:</w:t>
      </w:r>
    </w:p>
    <w:p w:rsidR="007946E9" w:rsidRDefault="007946E9" w:rsidP="007946E9">
      <w:pPr>
        <w:pStyle w:val="NormalWeb"/>
      </w:pPr>
      <w:r>
        <w:t xml:space="preserve">Our policy is simply to maintain a minimum of 8 months' worth of money -- we only get State Aid though and sometimes it is quite late coming to us.   </w:t>
      </w:r>
    </w:p>
    <w:p w:rsidR="007946E9" w:rsidRDefault="007946E9" w:rsidP="007946E9">
      <w:pPr>
        <w:pStyle w:val="NormalWeb"/>
      </w:pPr>
      <w:r>
        <w:t>Bryon</w:t>
      </w:r>
    </w:p>
    <w:p w:rsidR="007946E9" w:rsidRDefault="007946E9" w:rsidP="007946E9">
      <w:pPr>
        <w:pStyle w:val="HTMLPreformatted"/>
      </w:pPr>
      <w:r>
        <w:t xml:space="preserve">Bryon </w:t>
      </w:r>
      <w:proofErr w:type="spellStart"/>
      <w:r>
        <w:t>Sitler</w:t>
      </w:r>
      <w:proofErr w:type="spellEnd"/>
      <w:r>
        <w:t>, Director</w:t>
      </w:r>
    </w:p>
    <w:p w:rsidR="007946E9" w:rsidRDefault="007946E9" w:rsidP="007946E9">
      <w:pPr>
        <w:pStyle w:val="HTMLPreformatted"/>
      </w:pPr>
      <w:r>
        <w:t>White Pine Library Cooperative</w:t>
      </w:r>
    </w:p>
    <w:p w:rsidR="007946E9" w:rsidRDefault="007946E9" w:rsidP="007946E9">
      <w:pPr>
        <w:pStyle w:val="HTMLPreformatted"/>
      </w:pPr>
      <w:r>
        <w:t>3210 Davenport Ave.</w:t>
      </w:r>
    </w:p>
    <w:p w:rsidR="007946E9" w:rsidRDefault="007946E9" w:rsidP="007946E9">
      <w:pPr>
        <w:pStyle w:val="HTMLPreformatted"/>
      </w:pPr>
      <w:r>
        <w:t>Saginaw, MI   48602</w:t>
      </w:r>
    </w:p>
    <w:p w:rsidR="007946E9" w:rsidRDefault="007946E9" w:rsidP="007946E9">
      <w:pPr>
        <w:pStyle w:val="HTMLPreformatted"/>
      </w:pPr>
      <w:r>
        <w:t>Phone: (989) 793-7126</w:t>
      </w:r>
    </w:p>
    <w:p w:rsidR="001D1D47" w:rsidRDefault="001D1D47"/>
    <w:p w:rsidR="007946E9" w:rsidRDefault="007946E9"/>
    <w:p w:rsidR="007946E9" w:rsidRDefault="007946E9" w:rsidP="007946E9">
      <w:pPr>
        <w:rPr>
          <w:rFonts w:ascii="Verdana" w:hAnsi="Verdana"/>
        </w:rPr>
      </w:pPr>
      <w:r>
        <w:rPr>
          <w:rFonts w:ascii="Verdana" w:hAnsi="Verdana"/>
        </w:rPr>
        <w:t>Here is what our auditors said</w:t>
      </w:r>
    </w:p>
    <w:p w:rsidR="007946E9" w:rsidRDefault="007946E9" w:rsidP="007946E9">
      <w:pPr>
        <w:shd w:val="clear" w:color="auto" w:fill="FFFFFF"/>
        <w:rPr>
          <w:rFonts w:ascii="Arial" w:hAnsi="Arial" w:cs="Arial"/>
          <w:color w:val="222222"/>
          <w:sz w:val="19"/>
          <w:szCs w:val="19"/>
        </w:rPr>
      </w:pPr>
      <w:r>
        <w:rPr>
          <w:rFonts w:ascii="Arial" w:hAnsi="Arial" w:cs="Arial"/>
          <w:color w:val="222222"/>
          <w:sz w:val="19"/>
          <w:szCs w:val="19"/>
        </w:rPr>
        <w:t>General Fund – Unassigned Fund Balance </w:t>
      </w:r>
    </w:p>
    <w:p w:rsidR="007946E9" w:rsidRDefault="007946E9" w:rsidP="007946E9">
      <w:pPr>
        <w:shd w:val="clear" w:color="auto" w:fill="FFFFFF"/>
        <w:rPr>
          <w:rFonts w:ascii="Arial" w:hAnsi="Arial" w:cs="Arial"/>
          <w:color w:val="222222"/>
          <w:sz w:val="19"/>
          <w:szCs w:val="19"/>
        </w:rPr>
      </w:pPr>
      <w:r>
        <w:rPr>
          <w:rFonts w:ascii="Arial" w:hAnsi="Arial" w:cs="Arial"/>
          <w:color w:val="222222"/>
          <w:sz w:val="19"/>
          <w:szCs w:val="19"/>
        </w:rPr>
        <w:t> During our audit, we noted that the Library’s General Fund Unassigned Fund Balance as of December 31, 2017 was approximately $163,000, or approximately 3.6% of annual budgeted General Fund expenditures (approximately $4,550,000).  While every governmental organization is slightly different, the Government Finance Officers Association (GFOA) recommends that governmental organizations’ general fund unassigned fund balance not go below approximately two months of regular general fund operating revenues or expenditures, or approximately 17% of annual regular operating revenues or expenditures.  For the Library, this amount would approximate $773,500, assuming annual regular operating revenues or expenditures of approximately $4,550,000.  We recommend that the Library strengthen the General Fund’s Unassigned Fund Balance.   </w:t>
      </w:r>
    </w:p>
    <w:p w:rsidR="007946E9" w:rsidRPr="007946E9" w:rsidRDefault="007946E9" w:rsidP="007946E9">
      <w:pPr>
        <w:rPr>
          <w:rFonts w:ascii="Times New Roman" w:hAnsi="Times New Roman"/>
        </w:rPr>
      </w:pPr>
      <w:r>
        <w:rPr>
          <w:rFonts w:ascii="Verdana" w:hAnsi="Verdana"/>
          <w:sz w:val="20"/>
          <w:szCs w:val="20"/>
        </w:rPr>
        <w:t>Christine Lind Hage</w:t>
      </w:r>
    </w:p>
    <w:p w:rsidR="007946E9" w:rsidRDefault="007946E9" w:rsidP="007946E9">
      <w:r>
        <w:rPr>
          <w:rFonts w:ascii="Verdana" w:hAnsi="Verdana"/>
        </w:rPr>
        <w:t>Director, Rochester Hills Public Library</w:t>
      </w:r>
    </w:p>
    <w:p w:rsidR="007946E9" w:rsidRDefault="007946E9" w:rsidP="007946E9">
      <w:r>
        <w:rPr>
          <w:rFonts w:ascii="Verdana" w:hAnsi="Verdana"/>
        </w:rPr>
        <w:t>Division Councilor, United for Libraries</w:t>
      </w:r>
    </w:p>
    <w:p w:rsidR="007946E9" w:rsidRDefault="007946E9" w:rsidP="007946E9">
      <w:r>
        <w:rPr>
          <w:rFonts w:ascii="Verdana" w:hAnsi="Verdana"/>
          <w:sz w:val="20"/>
          <w:szCs w:val="20"/>
        </w:rPr>
        <w:t xml:space="preserve">500 </w:t>
      </w:r>
      <w:proofErr w:type="spellStart"/>
      <w:r>
        <w:rPr>
          <w:rFonts w:ascii="Verdana" w:hAnsi="Verdana"/>
          <w:sz w:val="20"/>
          <w:szCs w:val="20"/>
        </w:rPr>
        <w:t>Olde</w:t>
      </w:r>
      <w:proofErr w:type="spellEnd"/>
      <w:r>
        <w:rPr>
          <w:rFonts w:ascii="Verdana" w:hAnsi="Verdana"/>
          <w:sz w:val="20"/>
          <w:szCs w:val="20"/>
        </w:rPr>
        <w:t xml:space="preserve"> Towne Road</w:t>
      </w:r>
      <w:r>
        <w:rPr>
          <w:rFonts w:ascii="Verdana" w:hAnsi="Verdana"/>
          <w:sz w:val="20"/>
          <w:szCs w:val="20"/>
        </w:rPr>
        <w:br/>
        <w:t>Rochester, MI 48307-2043</w:t>
      </w:r>
      <w:r>
        <w:rPr>
          <w:rFonts w:ascii="Verdana" w:hAnsi="Verdana"/>
          <w:sz w:val="20"/>
          <w:szCs w:val="20"/>
        </w:rPr>
        <w:br/>
        <w:t>248/650-7122</w:t>
      </w:r>
    </w:p>
    <w:p w:rsidR="007946E9" w:rsidRDefault="007946E9" w:rsidP="007946E9">
      <w:pPr>
        <w:rPr>
          <w:rFonts w:eastAsia="Times New Roman"/>
          <w:sz w:val="24"/>
          <w:szCs w:val="24"/>
        </w:rPr>
      </w:pPr>
      <w:r>
        <w:rPr>
          <w:rFonts w:eastAsia="Times New Roman"/>
        </w:rPr>
        <w:lastRenderedPageBreak/>
        <w:t xml:space="preserve">Ours is on our website if you want to check it out.  We set aside 30%.  Our website is Franklin.lib.mi.us.  Policies are under the </w:t>
      </w:r>
      <w:proofErr w:type="gramStart"/>
      <w:r>
        <w:rPr>
          <w:rFonts w:eastAsia="Times New Roman"/>
        </w:rPr>
        <w:t>“ About</w:t>
      </w:r>
      <w:proofErr w:type="gramEnd"/>
      <w:r>
        <w:rPr>
          <w:rFonts w:eastAsia="Times New Roman"/>
        </w:rPr>
        <w:t xml:space="preserve"> us” tab.</w:t>
      </w:r>
    </w:p>
    <w:p w:rsidR="007946E9" w:rsidRDefault="007946E9" w:rsidP="007946E9">
      <w:pPr>
        <w:rPr>
          <w:rFonts w:eastAsia="Times New Roman"/>
        </w:rPr>
      </w:pPr>
      <w:r>
        <w:rPr>
          <w:rFonts w:eastAsia="Times New Roman"/>
        </w:rPr>
        <w:t>Teresa Natzke</w:t>
      </w:r>
    </w:p>
    <w:p w:rsidR="007946E9" w:rsidRDefault="007946E9" w:rsidP="007946E9">
      <w:pPr>
        <w:rPr>
          <w:rFonts w:eastAsia="Times New Roman"/>
        </w:rPr>
      </w:pPr>
      <w:r>
        <w:rPr>
          <w:rFonts w:eastAsia="Times New Roman"/>
        </w:rPr>
        <w:t>Director</w:t>
      </w:r>
    </w:p>
    <w:p w:rsidR="007946E9" w:rsidRPr="007946E9" w:rsidRDefault="007946E9" w:rsidP="007946E9">
      <w:pPr>
        <w:rPr>
          <w:rFonts w:eastAsia="Times New Roman"/>
        </w:rPr>
      </w:pPr>
      <w:r>
        <w:rPr>
          <w:rFonts w:eastAsia="Times New Roman"/>
        </w:rPr>
        <w:t>Franklin Public Library</w:t>
      </w:r>
    </w:p>
    <w:p w:rsidR="007946E9" w:rsidRDefault="007946E9" w:rsidP="007946E9">
      <w:pPr>
        <w:pStyle w:val="NormalWeb"/>
      </w:pPr>
    </w:p>
    <w:p w:rsidR="007946E9" w:rsidRDefault="007946E9" w:rsidP="007946E9">
      <w:pPr>
        <w:pStyle w:val="NormalWeb"/>
        <w:rPr>
          <w:sz w:val="24"/>
          <w:szCs w:val="24"/>
        </w:rPr>
      </w:pPr>
      <w:r>
        <w:t>I set aside funds for specific future purchases and even to protect from really bad penal fine years....currently we have a penal fine recovery fund, a building/furniture fund, a technology fund, and a vehicle fund.  I usually try to have a 20% undesignated fund in addition to the above.  Our millage is only for operations.</w:t>
      </w:r>
    </w:p>
    <w:p w:rsidR="007946E9" w:rsidRDefault="007946E9" w:rsidP="007946E9">
      <w:pPr>
        <w:pStyle w:val="NormalWeb"/>
      </w:pPr>
      <w:r>
        <w:t>Hope this helps.</w:t>
      </w:r>
    </w:p>
    <w:p w:rsidR="007946E9" w:rsidRDefault="007946E9" w:rsidP="007946E9">
      <w:pPr>
        <w:pStyle w:val="NormalWeb"/>
      </w:pPr>
      <w:r>
        <w:t>Stephanie</w:t>
      </w:r>
    </w:p>
    <w:p w:rsidR="007946E9" w:rsidRDefault="007946E9">
      <w:r>
        <w:rPr>
          <w:rFonts w:eastAsia="Times New Roman"/>
          <w:noProof/>
        </w:rPr>
        <w:drawing>
          <wp:inline distT="0" distB="0" distL="0" distR="0">
            <wp:extent cx="1933575" cy="1103427"/>
            <wp:effectExtent l="0" t="0" r="0" b="1905"/>
            <wp:docPr id="1" name="Picture 1" descr="cid:part1.C1DCFFA5.098105E9@vlc.lib.m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part1.C1DCFFA5.098105E9@vlc.lib.mi.us"/>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007474" cy="1145599"/>
                    </a:xfrm>
                    <a:prstGeom prst="rect">
                      <a:avLst/>
                    </a:prstGeom>
                    <a:noFill/>
                    <a:ln>
                      <a:noFill/>
                    </a:ln>
                  </pic:spPr>
                </pic:pic>
              </a:graphicData>
            </a:graphic>
          </wp:inline>
        </w:drawing>
      </w:r>
    </w:p>
    <w:p w:rsidR="007946E9" w:rsidRDefault="007946E9"/>
    <w:p w:rsidR="007946E9" w:rsidRDefault="007946E9"/>
    <w:p w:rsidR="007946E9" w:rsidRDefault="007946E9" w:rsidP="007946E9">
      <w:r>
        <w:t>Hi Rebecca,</w:t>
      </w:r>
    </w:p>
    <w:p w:rsidR="007946E9" w:rsidRDefault="007946E9" w:rsidP="007946E9"/>
    <w:p w:rsidR="007946E9" w:rsidRDefault="007946E9" w:rsidP="007946E9">
      <w:r>
        <w:t>I made an inquiry a few years ago and I have attached what I received here.  I also attached our policy (</w:t>
      </w:r>
      <w:r w:rsidRPr="00455075">
        <w:t>Fund Balance Policy December 2016).</w:t>
      </w:r>
      <w:r>
        <w:t xml:space="preserve"> </w:t>
      </w:r>
      <w:r>
        <w:rPr>
          <w:rFonts w:ascii="Wingdings" w:hAnsi="Wingdings"/>
        </w:rPr>
        <w:t></w:t>
      </w:r>
    </w:p>
    <w:p w:rsidR="007946E9" w:rsidRDefault="007946E9" w:rsidP="007946E9">
      <w:r>
        <w:t xml:space="preserve">To give some context to our numbers – we chose 45% because we run a Jan-Dec fiscal year and we don’t receive tax monies until end of April/beginning of May each year.  That means we have to have money to operate (Jan-May expenses) carried over from the previous year.  Yes, 5/12 of the year is technically 41.6% but 45% provides wiggle room for any annual expenses that happen to fall in the first 5 months. </w:t>
      </w:r>
      <w:r>
        <w:rPr>
          <w:rFonts w:ascii="Wingdings" w:hAnsi="Wingdings"/>
        </w:rPr>
        <w:t></w:t>
      </w:r>
    </w:p>
    <w:p w:rsidR="007946E9" w:rsidRDefault="007946E9" w:rsidP="007946E9">
      <w:r>
        <w:t>We have a healthy fund balance at this time.  The 25% in the policy for uncommitted funds may seem a little high to some, but for us it was reasonable.</w:t>
      </w:r>
    </w:p>
    <w:p w:rsidR="007946E9" w:rsidRDefault="007946E9" w:rsidP="007946E9">
      <w:r>
        <w:t>One other comment – we had our auditor look it over and she felt it was a sound policy.  The line she particularly liked was “</w:t>
      </w:r>
      <w:r>
        <w:rPr>
          <w:rFonts w:ascii="Times New Roman" w:hAnsi="Times New Roman" w:cs="Times New Roman"/>
          <w:sz w:val="24"/>
          <w:szCs w:val="24"/>
        </w:rPr>
        <w:t>When both committed and unassigned funds are available for a considered expenditure, the Board will assign funds appropriately.”  S</w:t>
      </w:r>
      <w:r>
        <w:t xml:space="preserve">he said that without that line the Board </w:t>
      </w:r>
      <w:r>
        <w:lastRenderedPageBreak/>
        <w:t xml:space="preserve">would be required to spend committed funds before unassigned funds based on GASB.  By including that line in the policy it gives the Board back their control of our spending.  </w:t>
      </w:r>
      <w:r>
        <w:rPr>
          <w:rFonts w:ascii="Wingdings" w:hAnsi="Wingdings"/>
        </w:rPr>
        <w:t></w:t>
      </w:r>
    </w:p>
    <w:p w:rsidR="007946E9" w:rsidRDefault="007946E9" w:rsidP="007946E9">
      <w:r>
        <w:t>Hope something helps!  The emails I received in 2016 are pasted below!!</w:t>
      </w:r>
    </w:p>
    <w:p w:rsidR="007946E9" w:rsidRDefault="007946E9" w:rsidP="007946E9">
      <w:r>
        <w:t>Megan Buck</w:t>
      </w:r>
    </w:p>
    <w:p w:rsidR="007946E9" w:rsidRDefault="007946E9" w:rsidP="007946E9">
      <w:r>
        <w:t>Director</w:t>
      </w:r>
    </w:p>
    <w:p w:rsidR="007946E9" w:rsidRDefault="007946E9" w:rsidP="007946E9">
      <w:r>
        <w:t>Dickinson County Library</w:t>
      </w:r>
    </w:p>
    <w:p w:rsidR="007946E9" w:rsidRDefault="007946E9" w:rsidP="007946E9">
      <w:r>
        <w:t>401 Iron Mountain Street</w:t>
      </w:r>
    </w:p>
    <w:p w:rsidR="007946E9" w:rsidRDefault="007946E9" w:rsidP="007946E9">
      <w:r>
        <w:t>Iron Mountain, MI 49801</w:t>
      </w:r>
    </w:p>
    <w:p w:rsidR="007946E9" w:rsidRDefault="007946E9" w:rsidP="007946E9">
      <w:r>
        <w:t>(906) 774-1218</w:t>
      </w:r>
    </w:p>
    <w:p w:rsidR="007946E9" w:rsidRDefault="00455075" w:rsidP="007946E9">
      <w:pPr>
        <w:rPr>
          <w:color w:val="1F497D"/>
        </w:rPr>
      </w:pPr>
      <w:hyperlink r:id="rId6" w:history="1">
        <w:r w:rsidR="007946E9">
          <w:rPr>
            <w:rStyle w:val="Hyperlink"/>
            <w:color w:val="0000FF"/>
          </w:rPr>
          <w:t>www.dcl-lib.org</w:t>
        </w:r>
      </w:hyperlink>
    </w:p>
    <w:p w:rsidR="007946E9" w:rsidRDefault="007946E9" w:rsidP="007946E9">
      <w:pPr>
        <w:rPr>
          <w:color w:val="1F497D"/>
          <w:sz w:val="16"/>
          <w:szCs w:val="16"/>
        </w:rPr>
      </w:pPr>
    </w:p>
    <w:p w:rsidR="007946E9" w:rsidRDefault="007946E9" w:rsidP="007946E9">
      <w:pPr>
        <w:rPr>
          <w:color w:val="1F497D"/>
          <w:sz w:val="16"/>
          <w:szCs w:val="16"/>
        </w:rPr>
      </w:pPr>
      <w:r>
        <w:rPr>
          <w:noProof/>
          <w:color w:val="1F497D"/>
          <w:sz w:val="16"/>
          <w:szCs w:val="16"/>
        </w:rPr>
        <w:drawing>
          <wp:inline distT="0" distB="0" distL="0" distR="0">
            <wp:extent cx="1362075" cy="371475"/>
            <wp:effectExtent l="0" t="0" r="9525" b="9525"/>
            <wp:docPr id="2" name="Picture 2" descr="dickinson cty libray-side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ckinson cty libray-side email"/>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62075" cy="371475"/>
                    </a:xfrm>
                    <a:prstGeom prst="rect">
                      <a:avLst/>
                    </a:prstGeom>
                    <a:noFill/>
                    <a:ln>
                      <a:noFill/>
                    </a:ln>
                  </pic:spPr>
                </pic:pic>
              </a:graphicData>
            </a:graphic>
          </wp:inline>
        </w:drawing>
      </w:r>
    </w:p>
    <w:p w:rsidR="007946E9" w:rsidRDefault="007946E9" w:rsidP="007946E9">
      <w:pPr>
        <w:rPr>
          <w:color w:val="1F497D"/>
        </w:rPr>
      </w:pPr>
    </w:p>
    <w:p w:rsidR="00455075" w:rsidRDefault="00455075" w:rsidP="007946E9">
      <w:pPr>
        <w:rPr>
          <w:color w:val="1F497D"/>
        </w:rPr>
      </w:pPr>
      <w:bookmarkStart w:id="0" w:name="_GoBack"/>
      <w:bookmarkEnd w:id="0"/>
    </w:p>
    <w:p w:rsidR="00455075" w:rsidRDefault="00455075" w:rsidP="00455075">
      <w:pPr>
        <w:rPr>
          <w:color w:val="1F497D"/>
        </w:rPr>
      </w:pPr>
      <w:r>
        <w:rPr>
          <w:color w:val="1F497D"/>
        </w:rPr>
        <w:t>I would suggest that you speak with your financial auditors.  That team should be able to tell you what they would expect you to keep as a contingency or reserve amount.  Much of that decision should be based on the age of your building, the amount of liability insurance you carry,</w:t>
      </w:r>
      <w:proofErr w:type="gramStart"/>
      <w:r>
        <w:rPr>
          <w:color w:val="1F497D"/>
        </w:rPr>
        <w:t>  if</w:t>
      </w:r>
      <w:proofErr w:type="gramEnd"/>
      <w:r>
        <w:rPr>
          <w:color w:val="1F497D"/>
        </w:rPr>
        <w:t xml:space="preserve"> you’re connected/tied to your city’s budget or independent of your city.  There are other variables as well.  </w:t>
      </w:r>
      <w:proofErr w:type="gramStart"/>
      <w:r>
        <w:rPr>
          <w:color w:val="1F497D"/>
        </w:rPr>
        <w:t>Have  you</w:t>
      </w:r>
      <w:proofErr w:type="gramEnd"/>
      <w:r>
        <w:rPr>
          <w:color w:val="1F497D"/>
        </w:rPr>
        <w:t xml:space="preserve"> already established a reserve fund or if you are just beginning.  Do you have any other funds available that you could tap,  for instance an endowment or gift fund that do not have restrictions?  </w:t>
      </w:r>
    </w:p>
    <w:p w:rsidR="00455075" w:rsidRDefault="00455075" w:rsidP="00455075">
      <w:pPr>
        <w:rPr>
          <w:color w:val="1F497D"/>
        </w:rPr>
      </w:pPr>
    </w:p>
    <w:p w:rsidR="00455075" w:rsidRDefault="00455075" w:rsidP="00455075">
      <w:pPr>
        <w:rPr>
          <w:color w:val="1F497D"/>
        </w:rPr>
      </w:pPr>
      <w:r>
        <w:rPr>
          <w:color w:val="1F497D"/>
        </w:rPr>
        <w:t>So I would begin my talking to the people who know</w:t>
      </w:r>
      <w:proofErr w:type="gramStart"/>
      <w:r>
        <w:rPr>
          <w:color w:val="1F497D"/>
        </w:rPr>
        <w:t>  your</w:t>
      </w:r>
      <w:proofErr w:type="gramEnd"/>
      <w:r>
        <w:rPr>
          <w:color w:val="1F497D"/>
        </w:rPr>
        <w:t xml:space="preserve"> financial circumstances the best.</w:t>
      </w:r>
    </w:p>
    <w:p w:rsidR="00455075" w:rsidRDefault="00455075" w:rsidP="00455075">
      <w:pPr>
        <w:rPr>
          <w:color w:val="1F497D"/>
        </w:rPr>
      </w:pPr>
    </w:p>
    <w:p w:rsidR="00455075" w:rsidRDefault="00455075" w:rsidP="00455075">
      <w:pPr>
        <w:rPr>
          <w:color w:val="1F497D"/>
        </w:rPr>
      </w:pPr>
      <w:r>
        <w:rPr>
          <w:color w:val="1F497D"/>
        </w:rPr>
        <w:t>Gale Yunker</w:t>
      </w:r>
    </w:p>
    <w:p w:rsidR="00455075" w:rsidRDefault="00455075" w:rsidP="00455075">
      <w:pPr>
        <w:rPr>
          <w:color w:val="1F497D"/>
        </w:rPr>
      </w:pPr>
      <w:r>
        <w:rPr>
          <w:color w:val="1F497D"/>
        </w:rPr>
        <w:t>Accounting Manager</w:t>
      </w:r>
    </w:p>
    <w:p w:rsidR="00455075" w:rsidRDefault="00455075" w:rsidP="00455075">
      <w:pPr>
        <w:rPr>
          <w:color w:val="1F497D"/>
        </w:rPr>
      </w:pPr>
      <w:r>
        <w:rPr>
          <w:color w:val="1F497D"/>
        </w:rPr>
        <w:t>Farmington Community Library</w:t>
      </w:r>
    </w:p>
    <w:p w:rsidR="007946E9" w:rsidRDefault="007946E9" w:rsidP="007946E9">
      <w:pPr>
        <w:rPr>
          <w:color w:val="1F497D"/>
        </w:rPr>
      </w:pPr>
    </w:p>
    <w:sectPr w:rsidR="00794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Script">
    <w:panose1 w:val="020B0504020000000003"/>
    <w:charset w:val="00"/>
    <w:family w:val="script"/>
    <w:pitch w:val="variable"/>
    <w:sig w:usb0="0000028F"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6E9"/>
    <w:rsid w:val="001D1D47"/>
    <w:rsid w:val="00455075"/>
    <w:rsid w:val="00794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5D12"/>
  <w15:chartTrackingRefBased/>
  <w15:docId w15:val="{784DFA0A-B210-46AA-B726-736B7109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4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7946E9"/>
    <w:rPr>
      <w:rFonts w:ascii="Courier New" w:hAnsi="Courier New" w:cs="Courier New"/>
      <w:color w:val="000000"/>
      <w:sz w:val="20"/>
      <w:szCs w:val="20"/>
    </w:rPr>
  </w:style>
  <w:style w:type="paragraph" w:styleId="NormalWeb">
    <w:name w:val="Normal (Web)"/>
    <w:basedOn w:val="Normal"/>
    <w:uiPriority w:val="99"/>
    <w:semiHidden/>
    <w:unhideWhenUsed/>
    <w:rsid w:val="007946E9"/>
    <w:pPr>
      <w:spacing w:before="100" w:beforeAutospacing="1" w:after="100" w:afterAutospacing="1" w:line="240" w:lineRule="auto"/>
    </w:pPr>
    <w:rPr>
      <w:rFonts w:ascii="Calibri" w:hAnsi="Calibri" w:cs="Calibri"/>
      <w:color w:val="000000"/>
    </w:rPr>
  </w:style>
  <w:style w:type="character" w:styleId="Hyperlink">
    <w:name w:val="Hyperlink"/>
    <w:basedOn w:val="DefaultParagraphFont"/>
    <w:uiPriority w:val="99"/>
    <w:semiHidden/>
    <w:unhideWhenUsed/>
    <w:rsid w:val="007946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15279">
      <w:bodyDiv w:val="1"/>
      <w:marLeft w:val="0"/>
      <w:marRight w:val="0"/>
      <w:marTop w:val="0"/>
      <w:marBottom w:val="0"/>
      <w:divBdr>
        <w:top w:val="none" w:sz="0" w:space="0" w:color="auto"/>
        <w:left w:val="none" w:sz="0" w:space="0" w:color="auto"/>
        <w:bottom w:val="none" w:sz="0" w:space="0" w:color="auto"/>
        <w:right w:val="none" w:sz="0" w:space="0" w:color="auto"/>
      </w:divBdr>
    </w:div>
    <w:div w:id="313459883">
      <w:bodyDiv w:val="1"/>
      <w:marLeft w:val="0"/>
      <w:marRight w:val="0"/>
      <w:marTop w:val="0"/>
      <w:marBottom w:val="0"/>
      <w:divBdr>
        <w:top w:val="none" w:sz="0" w:space="0" w:color="auto"/>
        <w:left w:val="none" w:sz="0" w:space="0" w:color="auto"/>
        <w:bottom w:val="none" w:sz="0" w:space="0" w:color="auto"/>
        <w:right w:val="none" w:sz="0" w:space="0" w:color="auto"/>
      </w:divBdr>
    </w:div>
    <w:div w:id="571890913">
      <w:bodyDiv w:val="1"/>
      <w:marLeft w:val="0"/>
      <w:marRight w:val="0"/>
      <w:marTop w:val="0"/>
      <w:marBottom w:val="0"/>
      <w:divBdr>
        <w:top w:val="none" w:sz="0" w:space="0" w:color="auto"/>
        <w:left w:val="none" w:sz="0" w:space="0" w:color="auto"/>
        <w:bottom w:val="none" w:sz="0" w:space="0" w:color="auto"/>
        <w:right w:val="none" w:sz="0" w:space="0" w:color="auto"/>
      </w:divBdr>
    </w:div>
    <w:div w:id="1280725495">
      <w:bodyDiv w:val="1"/>
      <w:marLeft w:val="0"/>
      <w:marRight w:val="0"/>
      <w:marTop w:val="0"/>
      <w:marBottom w:val="0"/>
      <w:divBdr>
        <w:top w:val="none" w:sz="0" w:space="0" w:color="auto"/>
        <w:left w:val="none" w:sz="0" w:space="0" w:color="auto"/>
        <w:bottom w:val="none" w:sz="0" w:space="0" w:color="auto"/>
        <w:right w:val="none" w:sz="0" w:space="0" w:color="auto"/>
      </w:divBdr>
    </w:div>
    <w:div w:id="1349601359">
      <w:bodyDiv w:val="1"/>
      <w:marLeft w:val="0"/>
      <w:marRight w:val="0"/>
      <w:marTop w:val="0"/>
      <w:marBottom w:val="0"/>
      <w:divBdr>
        <w:top w:val="none" w:sz="0" w:space="0" w:color="auto"/>
        <w:left w:val="none" w:sz="0" w:space="0" w:color="auto"/>
        <w:bottom w:val="none" w:sz="0" w:space="0" w:color="auto"/>
        <w:right w:val="none" w:sz="0" w:space="0" w:color="auto"/>
      </w:divBdr>
    </w:div>
    <w:div w:id="1418290546">
      <w:bodyDiv w:val="1"/>
      <w:marLeft w:val="0"/>
      <w:marRight w:val="0"/>
      <w:marTop w:val="0"/>
      <w:marBottom w:val="0"/>
      <w:divBdr>
        <w:top w:val="none" w:sz="0" w:space="0" w:color="auto"/>
        <w:left w:val="none" w:sz="0" w:space="0" w:color="auto"/>
        <w:bottom w:val="none" w:sz="0" w:space="0" w:color="auto"/>
        <w:right w:val="none" w:sz="0" w:space="0" w:color="auto"/>
      </w:divBdr>
    </w:div>
    <w:div w:id="197289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3E617.DF395870"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cl-lib.org/" TargetMode="External"/><Relationship Id="rId5" Type="http://schemas.openxmlformats.org/officeDocument/2006/relationships/image" Target="cid:part1.C1DCFFA5.098105E9@vlc.lib.mi.us"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Higgerson</dc:creator>
  <cp:keywords/>
  <dc:description/>
  <cp:lastModifiedBy>Rebecca Higgerson</cp:lastModifiedBy>
  <cp:revision>2</cp:revision>
  <dcterms:created xsi:type="dcterms:W3CDTF">2018-05-23T20:19:00Z</dcterms:created>
  <dcterms:modified xsi:type="dcterms:W3CDTF">2018-05-25T20:50:00Z</dcterms:modified>
</cp:coreProperties>
</file>