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883" w:rsidRPr="00FA1741" w:rsidRDefault="008D638C" w:rsidP="008D638C">
      <w:pPr>
        <w:jc w:val="center"/>
        <w:rPr>
          <w:b/>
          <w:sz w:val="40"/>
          <w:szCs w:val="40"/>
        </w:rPr>
      </w:pPr>
      <w:r w:rsidRPr="00FA1741">
        <w:rPr>
          <w:b/>
          <w:sz w:val="40"/>
          <w:szCs w:val="40"/>
        </w:rPr>
        <w:t>Ask an Attorney</w:t>
      </w:r>
    </w:p>
    <w:p w:rsidR="008D638C" w:rsidRPr="00FA1741" w:rsidRDefault="008D638C" w:rsidP="008D638C">
      <w:pPr>
        <w:jc w:val="center"/>
        <w:rPr>
          <w:b/>
          <w:sz w:val="28"/>
          <w:szCs w:val="28"/>
        </w:rPr>
      </w:pPr>
    </w:p>
    <w:p w:rsidR="008D638C" w:rsidRPr="00FA1741" w:rsidRDefault="008D638C" w:rsidP="008D638C">
      <w:pPr>
        <w:rPr>
          <w:sz w:val="28"/>
          <w:szCs w:val="28"/>
        </w:rPr>
      </w:pPr>
      <w:r w:rsidRPr="00FA1741">
        <w:rPr>
          <w:sz w:val="28"/>
          <w:szCs w:val="28"/>
        </w:rPr>
        <w:t>Join our open-ended dialogue with Rebecca Davies, Esq., as she answers your questions and provides pragmatic guides to address common issues before they escalate into legal action. Davies, an employment and workplace specialist, will review human resource areas such as:</w:t>
      </w:r>
    </w:p>
    <w:p w:rsidR="008D638C" w:rsidRPr="00FA1741" w:rsidRDefault="008D638C" w:rsidP="008D638C">
      <w:pPr>
        <w:rPr>
          <w:sz w:val="28"/>
          <w:szCs w:val="28"/>
        </w:rPr>
      </w:pPr>
    </w:p>
    <w:p w:rsidR="008D638C" w:rsidRPr="00FA1741" w:rsidRDefault="002F547A" w:rsidP="008D638C">
      <w:pPr>
        <w:pStyle w:val="ListParagraph"/>
        <w:numPr>
          <w:ilvl w:val="0"/>
          <w:numId w:val="1"/>
        </w:numPr>
        <w:rPr>
          <w:sz w:val="28"/>
          <w:szCs w:val="28"/>
        </w:rPr>
      </w:pPr>
      <w:r w:rsidRPr="00FA1741">
        <w:rPr>
          <w:sz w:val="28"/>
          <w:szCs w:val="28"/>
        </w:rPr>
        <w:t>Hiring and evaluating</w:t>
      </w:r>
      <w:r w:rsidR="008D638C" w:rsidRPr="00FA1741">
        <w:rPr>
          <w:sz w:val="28"/>
          <w:szCs w:val="28"/>
        </w:rPr>
        <w:t xml:space="preserve"> staff</w:t>
      </w:r>
    </w:p>
    <w:p w:rsidR="008D638C" w:rsidRPr="00FA1741" w:rsidRDefault="008D638C" w:rsidP="008D638C">
      <w:pPr>
        <w:pStyle w:val="ListParagraph"/>
        <w:numPr>
          <w:ilvl w:val="0"/>
          <w:numId w:val="1"/>
        </w:numPr>
        <w:rPr>
          <w:sz w:val="28"/>
          <w:szCs w:val="28"/>
        </w:rPr>
      </w:pPr>
      <w:r w:rsidRPr="00FA1741">
        <w:rPr>
          <w:sz w:val="28"/>
          <w:szCs w:val="28"/>
        </w:rPr>
        <w:t>Establishing compensation and benefit levels</w:t>
      </w:r>
    </w:p>
    <w:p w:rsidR="008D638C" w:rsidRPr="00FA1741" w:rsidRDefault="008D638C" w:rsidP="008D638C">
      <w:pPr>
        <w:pStyle w:val="ListParagraph"/>
        <w:numPr>
          <w:ilvl w:val="0"/>
          <w:numId w:val="1"/>
        </w:numPr>
        <w:rPr>
          <w:sz w:val="28"/>
          <w:szCs w:val="28"/>
        </w:rPr>
      </w:pPr>
      <w:r w:rsidRPr="00FA1741">
        <w:rPr>
          <w:sz w:val="28"/>
          <w:szCs w:val="28"/>
        </w:rPr>
        <w:t>Discipline and dismissal procedures</w:t>
      </w:r>
    </w:p>
    <w:p w:rsidR="008D638C" w:rsidRPr="00FA1741" w:rsidRDefault="002F547A" w:rsidP="008D638C">
      <w:pPr>
        <w:pStyle w:val="ListParagraph"/>
        <w:numPr>
          <w:ilvl w:val="0"/>
          <w:numId w:val="1"/>
        </w:numPr>
        <w:rPr>
          <w:sz w:val="28"/>
          <w:szCs w:val="28"/>
        </w:rPr>
      </w:pPr>
      <w:r w:rsidRPr="00FA1741">
        <w:rPr>
          <w:sz w:val="28"/>
          <w:szCs w:val="28"/>
        </w:rPr>
        <w:t>Director employment agreement – pro’s and con’s</w:t>
      </w:r>
    </w:p>
    <w:p w:rsidR="002F547A" w:rsidRPr="00FA1741" w:rsidRDefault="002F547A" w:rsidP="002F547A">
      <w:pPr>
        <w:rPr>
          <w:sz w:val="28"/>
          <w:szCs w:val="28"/>
        </w:rPr>
      </w:pPr>
    </w:p>
    <w:p w:rsidR="002F547A" w:rsidRPr="00FA1741" w:rsidRDefault="002F547A" w:rsidP="002F547A">
      <w:pPr>
        <w:rPr>
          <w:sz w:val="28"/>
          <w:szCs w:val="28"/>
        </w:rPr>
      </w:pPr>
      <w:r w:rsidRPr="00FA1741">
        <w:rPr>
          <w:sz w:val="28"/>
          <w:szCs w:val="28"/>
        </w:rPr>
        <w:t>Other contemporary topics of interest include:</w:t>
      </w:r>
    </w:p>
    <w:p w:rsidR="002F547A" w:rsidRPr="00FA1741" w:rsidRDefault="002F547A" w:rsidP="002F547A">
      <w:pPr>
        <w:rPr>
          <w:sz w:val="28"/>
          <w:szCs w:val="28"/>
        </w:rPr>
      </w:pPr>
    </w:p>
    <w:p w:rsidR="002F547A" w:rsidRPr="00FA1741" w:rsidRDefault="002F547A" w:rsidP="002F547A">
      <w:pPr>
        <w:pStyle w:val="ListParagraph"/>
        <w:numPr>
          <w:ilvl w:val="0"/>
          <w:numId w:val="2"/>
        </w:numPr>
        <w:rPr>
          <w:sz w:val="28"/>
          <w:szCs w:val="28"/>
        </w:rPr>
      </w:pPr>
      <w:r w:rsidRPr="00FA1741">
        <w:rPr>
          <w:sz w:val="28"/>
          <w:szCs w:val="28"/>
        </w:rPr>
        <w:t>As public servants, are library employees subject to lawsuits from the public they serve</w:t>
      </w:r>
    </w:p>
    <w:p w:rsidR="002F547A" w:rsidRPr="00FA1741" w:rsidRDefault="002F547A" w:rsidP="002F547A">
      <w:pPr>
        <w:pStyle w:val="ListParagraph"/>
        <w:numPr>
          <w:ilvl w:val="0"/>
          <w:numId w:val="2"/>
        </w:numPr>
        <w:rPr>
          <w:sz w:val="28"/>
          <w:szCs w:val="28"/>
        </w:rPr>
      </w:pPr>
      <w:r w:rsidRPr="00FA1741">
        <w:rPr>
          <w:sz w:val="28"/>
          <w:szCs w:val="28"/>
        </w:rPr>
        <w:t>If a library violates the Freedom of Information or Open Meetings Act, who is potentially liable</w:t>
      </w:r>
    </w:p>
    <w:p w:rsidR="002F547A" w:rsidRPr="00FA1741" w:rsidRDefault="002F547A" w:rsidP="002F547A">
      <w:pPr>
        <w:pStyle w:val="ListParagraph"/>
        <w:numPr>
          <w:ilvl w:val="0"/>
          <w:numId w:val="2"/>
        </w:numPr>
        <w:rPr>
          <w:sz w:val="28"/>
          <w:szCs w:val="28"/>
        </w:rPr>
      </w:pPr>
      <w:r w:rsidRPr="00FA1741">
        <w:rPr>
          <w:sz w:val="28"/>
          <w:szCs w:val="28"/>
        </w:rPr>
        <w:t xml:space="preserve">Can staff actively </w:t>
      </w:r>
      <w:r w:rsidR="000A1480" w:rsidRPr="00FA1741">
        <w:rPr>
          <w:sz w:val="28"/>
          <w:szCs w:val="28"/>
        </w:rPr>
        <w:t>engage in positive support for a library millage</w:t>
      </w:r>
    </w:p>
    <w:p w:rsidR="000A1480" w:rsidRPr="00FA1741" w:rsidRDefault="000A1480" w:rsidP="002F547A">
      <w:pPr>
        <w:pStyle w:val="ListParagraph"/>
        <w:numPr>
          <w:ilvl w:val="0"/>
          <w:numId w:val="2"/>
        </w:numPr>
        <w:rPr>
          <w:sz w:val="28"/>
          <w:szCs w:val="28"/>
        </w:rPr>
      </w:pPr>
      <w:r w:rsidRPr="00FA1741">
        <w:rPr>
          <w:sz w:val="28"/>
          <w:szCs w:val="28"/>
        </w:rPr>
        <w:t>Problem patron(s) – what are their rights and staff rights</w:t>
      </w:r>
    </w:p>
    <w:p w:rsidR="000A1480" w:rsidRPr="00FA1741" w:rsidRDefault="000A1480" w:rsidP="002F547A">
      <w:pPr>
        <w:pStyle w:val="ListParagraph"/>
        <w:numPr>
          <w:ilvl w:val="0"/>
          <w:numId w:val="2"/>
        </w:numPr>
        <w:rPr>
          <w:sz w:val="28"/>
          <w:szCs w:val="28"/>
        </w:rPr>
      </w:pPr>
      <w:r w:rsidRPr="00FA1741">
        <w:rPr>
          <w:sz w:val="28"/>
          <w:szCs w:val="28"/>
        </w:rPr>
        <w:t>Open carry and concealed weapons – are there workable solutions</w:t>
      </w:r>
    </w:p>
    <w:p w:rsidR="000A1480" w:rsidRPr="00FA1741" w:rsidRDefault="000A1480" w:rsidP="002F547A">
      <w:pPr>
        <w:pStyle w:val="ListParagraph"/>
        <w:numPr>
          <w:ilvl w:val="0"/>
          <w:numId w:val="2"/>
        </w:numPr>
        <w:rPr>
          <w:sz w:val="28"/>
          <w:szCs w:val="28"/>
        </w:rPr>
      </w:pPr>
      <w:r w:rsidRPr="00FA1741">
        <w:rPr>
          <w:sz w:val="28"/>
          <w:szCs w:val="28"/>
        </w:rPr>
        <w:t>Latch key children – what should be done when no one picks up child before closing</w:t>
      </w:r>
    </w:p>
    <w:p w:rsidR="000A1480" w:rsidRPr="00FA1741" w:rsidRDefault="000A1480" w:rsidP="002F547A">
      <w:pPr>
        <w:pStyle w:val="ListParagraph"/>
        <w:numPr>
          <w:ilvl w:val="0"/>
          <w:numId w:val="2"/>
        </w:numPr>
        <w:rPr>
          <w:sz w:val="28"/>
          <w:szCs w:val="28"/>
        </w:rPr>
      </w:pPr>
      <w:r w:rsidRPr="00FA1741">
        <w:rPr>
          <w:sz w:val="28"/>
          <w:szCs w:val="28"/>
        </w:rPr>
        <w:t>Adult access to pornography on library computer</w:t>
      </w:r>
    </w:p>
    <w:p w:rsidR="000A1480" w:rsidRPr="00FA1741" w:rsidRDefault="000A1480" w:rsidP="002F547A">
      <w:pPr>
        <w:pStyle w:val="ListParagraph"/>
        <w:numPr>
          <w:ilvl w:val="0"/>
          <w:numId w:val="2"/>
        </w:numPr>
        <w:rPr>
          <w:sz w:val="28"/>
          <w:szCs w:val="28"/>
        </w:rPr>
      </w:pPr>
      <w:r w:rsidRPr="00FA1741">
        <w:rPr>
          <w:sz w:val="28"/>
          <w:szCs w:val="28"/>
        </w:rPr>
        <w:t>Theft of resources – should a library sue to get over due materials returned</w:t>
      </w:r>
    </w:p>
    <w:p w:rsidR="000A1480" w:rsidRPr="00FA1741" w:rsidRDefault="000A1480" w:rsidP="000A1480">
      <w:pPr>
        <w:rPr>
          <w:sz w:val="28"/>
          <w:szCs w:val="28"/>
        </w:rPr>
      </w:pPr>
    </w:p>
    <w:p w:rsidR="000A1480" w:rsidRDefault="000A1480" w:rsidP="000A1480">
      <w:pPr>
        <w:rPr>
          <w:sz w:val="28"/>
          <w:szCs w:val="28"/>
        </w:rPr>
      </w:pPr>
      <w:r w:rsidRPr="00FA1741">
        <w:rPr>
          <w:sz w:val="28"/>
          <w:szCs w:val="28"/>
        </w:rPr>
        <w:t>We encourage work shop attendees to forward any questions or concerns to the TLN for review by Ms. Davies prior to the work shop. This work shop is informative in content and sc</w:t>
      </w:r>
      <w:r w:rsidR="00FA1741" w:rsidRPr="00FA1741">
        <w:rPr>
          <w:sz w:val="28"/>
          <w:szCs w:val="28"/>
        </w:rPr>
        <w:t>ope. A legal opinion is not provided nor represented.</w:t>
      </w:r>
      <w:r w:rsidRPr="00FA1741">
        <w:rPr>
          <w:sz w:val="28"/>
          <w:szCs w:val="28"/>
        </w:rPr>
        <w:t xml:space="preserve"> </w:t>
      </w:r>
    </w:p>
    <w:p w:rsidR="00945A57" w:rsidRDefault="00945A57" w:rsidP="000A1480">
      <w:pPr>
        <w:rPr>
          <w:sz w:val="28"/>
          <w:szCs w:val="28"/>
        </w:rPr>
      </w:pPr>
    </w:p>
    <w:p w:rsidR="00945A57" w:rsidRDefault="00945A57" w:rsidP="000A1480">
      <w:pPr>
        <w:rPr>
          <w:sz w:val="28"/>
          <w:szCs w:val="28"/>
        </w:rPr>
      </w:pPr>
      <w:r>
        <w:rPr>
          <w:sz w:val="28"/>
          <w:szCs w:val="28"/>
        </w:rPr>
        <w:t>June 12</w:t>
      </w:r>
      <w:r>
        <w:rPr>
          <w:sz w:val="28"/>
          <w:szCs w:val="28"/>
        </w:rPr>
        <w:tab/>
      </w:r>
      <w:r>
        <w:rPr>
          <w:sz w:val="28"/>
          <w:szCs w:val="28"/>
        </w:rPr>
        <w:tab/>
        <w:t>1 PM to 4 PM</w:t>
      </w:r>
      <w:r>
        <w:rPr>
          <w:sz w:val="28"/>
          <w:szCs w:val="28"/>
        </w:rPr>
        <w:tab/>
      </w:r>
      <w:r>
        <w:rPr>
          <w:sz w:val="28"/>
          <w:szCs w:val="28"/>
        </w:rPr>
        <w:tab/>
        <w:t>St. Clair County Library – Port Huron</w:t>
      </w:r>
    </w:p>
    <w:p w:rsidR="00945A57" w:rsidRDefault="00945A57" w:rsidP="000A1480">
      <w:pPr>
        <w:rPr>
          <w:sz w:val="28"/>
          <w:szCs w:val="28"/>
        </w:rPr>
      </w:pPr>
    </w:p>
    <w:p w:rsidR="00945A57" w:rsidRDefault="00945A57" w:rsidP="000A1480">
      <w:pPr>
        <w:rPr>
          <w:sz w:val="28"/>
          <w:szCs w:val="28"/>
        </w:rPr>
      </w:pPr>
      <w:r>
        <w:rPr>
          <w:sz w:val="28"/>
          <w:szCs w:val="28"/>
        </w:rPr>
        <w:t>June 17</w:t>
      </w:r>
      <w:r>
        <w:rPr>
          <w:sz w:val="28"/>
          <w:szCs w:val="28"/>
        </w:rPr>
        <w:tab/>
      </w:r>
      <w:r>
        <w:rPr>
          <w:sz w:val="28"/>
          <w:szCs w:val="28"/>
        </w:rPr>
        <w:tab/>
        <w:t>1 PM to 4 PM</w:t>
      </w:r>
      <w:r>
        <w:rPr>
          <w:sz w:val="28"/>
          <w:szCs w:val="28"/>
        </w:rPr>
        <w:tab/>
      </w:r>
      <w:r>
        <w:rPr>
          <w:sz w:val="28"/>
          <w:szCs w:val="28"/>
        </w:rPr>
        <w:tab/>
        <w:t>Wixom Public Library</w:t>
      </w:r>
    </w:p>
    <w:p w:rsidR="00955A88" w:rsidRDefault="00955A88" w:rsidP="000A1480">
      <w:pPr>
        <w:rPr>
          <w:sz w:val="28"/>
          <w:szCs w:val="28"/>
        </w:rPr>
      </w:pPr>
    </w:p>
    <w:p w:rsidR="00955A88" w:rsidRDefault="00955A88" w:rsidP="000A1480">
      <w:pPr>
        <w:rPr>
          <w:sz w:val="28"/>
          <w:szCs w:val="28"/>
        </w:rPr>
      </w:pPr>
      <w:r>
        <w:rPr>
          <w:sz w:val="28"/>
          <w:szCs w:val="28"/>
        </w:rPr>
        <w:t xml:space="preserve">Registration and $10 online fee at:  </w:t>
      </w:r>
      <w:hyperlink r:id="rId6" w:history="1">
        <w:r w:rsidRPr="00282E14">
          <w:rPr>
            <w:rStyle w:val="Hyperlink"/>
            <w:sz w:val="28"/>
            <w:szCs w:val="28"/>
          </w:rPr>
          <w:t>http://www.tln.lib.mi.us/cetraining/</w:t>
        </w:r>
      </w:hyperlink>
    </w:p>
    <w:p w:rsidR="00955A88" w:rsidRPr="00FA1741" w:rsidRDefault="00955A88" w:rsidP="000A1480">
      <w:pPr>
        <w:rPr>
          <w:sz w:val="28"/>
          <w:szCs w:val="28"/>
        </w:rPr>
      </w:pPr>
      <w:bookmarkStart w:id="0" w:name="_GoBack"/>
      <w:bookmarkEnd w:id="0"/>
    </w:p>
    <w:sectPr w:rsidR="00955A88" w:rsidRPr="00FA1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914C2"/>
    <w:multiLevelType w:val="hybridMultilevel"/>
    <w:tmpl w:val="16B4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0E5199"/>
    <w:multiLevelType w:val="hybridMultilevel"/>
    <w:tmpl w:val="3FB8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8C"/>
    <w:rsid w:val="000A1480"/>
    <w:rsid w:val="002F547A"/>
    <w:rsid w:val="008D638C"/>
    <w:rsid w:val="00945A57"/>
    <w:rsid w:val="00955A88"/>
    <w:rsid w:val="00F36883"/>
    <w:rsid w:val="00FA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38C"/>
    <w:pPr>
      <w:ind w:left="720"/>
      <w:contextualSpacing/>
    </w:pPr>
  </w:style>
  <w:style w:type="character" w:styleId="Hyperlink">
    <w:name w:val="Hyperlink"/>
    <w:basedOn w:val="DefaultParagraphFont"/>
    <w:uiPriority w:val="99"/>
    <w:unhideWhenUsed/>
    <w:rsid w:val="00955A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38C"/>
    <w:pPr>
      <w:ind w:left="720"/>
      <w:contextualSpacing/>
    </w:pPr>
  </w:style>
  <w:style w:type="character" w:styleId="Hyperlink">
    <w:name w:val="Hyperlink"/>
    <w:basedOn w:val="DefaultParagraphFont"/>
    <w:uiPriority w:val="99"/>
    <w:unhideWhenUsed/>
    <w:rsid w:val="00955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ln.lib.mi.us/cetrain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Pletz</dc:creator>
  <cp:lastModifiedBy>Jim Pletz</cp:lastModifiedBy>
  <cp:revision>3</cp:revision>
  <cp:lastPrinted>2014-03-05T18:39:00Z</cp:lastPrinted>
  <dcterms:created xsi:type="dcterms:W3CDTF">2014-01-31T18:52:00Z</dcterms:created>
  <dcterms:modified xsi:type="dcterms:W3CDTF">2014-03-14T13:01:00Z</dcterms:modified>
</cp:coreProperties>
</file>