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11" w:rsidRPr="00A768D4" w:rsidRDefault="00A65D11" w:rsidP="00A65D11">
      <w:pPr>
        <w:rPr>
          <w:b/>
          <w:sz w:val="44"/>
          <w:szCs w:val="44"/>
        </w:rPr>
      </w:pPr>
      <w:r w:rsidRPr="00A768D4">
        <w:rPr>
          <w:b/>
          <w:sz w:val="44"/>
          <w:szCs w:val="44"/>
        </w:rPr>
        <w:t>Demonstrat</w:t>
      </w:r>
      <w:r w:rsidR="005077E4">
        <w:rPr>
          <w:b/>
          <w:sz w:val="44"/>
          <w:szCs w:val="44"/>
        </w:rPr>
        <w:t>ing The Relevance of Libraries In T</w:t>
      </w:r>
      <w:r w:rsidRPr="00A768D4">
        <w:rPr>
          <w:b/>
          <w:sz w:val="44"/>
          <w:szCs w:val="44"/>
        </w:rPr>
        <w:t xml:space="preserve">he Community </w:t>
      </w:r>
    </w:p>
    <w:p w:rsidR="00A2784A" w:rsidRPr="00A768D4" w:rsidRDefault="00A65D11" w:rsidP="00A65D11">
      <w:pPr>
        <w:rPr>
          <w:sz w:val="44"/>
          <w:szCs w:val="44"/>
        </w:rPr>
      </w:pPr>
      <w:proofErr w:type="gramStart"/>
      <w:r w:rsidRPr="00A768D4">
        <w:rPr>
          <w:sz w:val="44"/>
          <w:szCs w:val="44"/>
        </w:rPr>
        <w:t>with</w:t>
      </w:r>
      <w:proofErr w:type="gramEnd"/>
      <w:r w:rsidRPr="00A768D4">
        <w:rPr>
          <w:sz w:val="44"/>
          <w:szCs w:val="44"/>
        </w:rPr>
        <w:t xml:space="preserve"> Peter Pearson and Sue Hall</w:t>
      </w:r>
    </w:p>
    <w:p w:rsidR="00A768D4" w:rsidRDefault="00A768D4" w:rsidP="00A65D11">
      <w:pPr>
        <w:rPr>
          <w:sz w:val="52"/>
          <w:szCs w:val="52"/>
        </w:rPr>
      </w:pPr>
      <w:r w:rsidRPr="00A768D4">
        <w:rPr>
          <w:sz w:val="44"/>
          <w:szCs w:val="44"/>
        </w:rPr>
        <w:t>(Library Strategies Consulting Group</w:t>
      </w:r>
      <w:r>
        <w:rPr>
          <w:sz w:val="52"/>
          <w:szCs w:val="52"/>
        </w:rPr>
        <w:t>)</w:t>
      </w:r>
    </w:p>
    <w:p w:rsidR="00A65D11" w:rsidRDefault="00A65D11" w:rsidP="00A65D11">
      <w:pPr>
        <w:rPr>
          <w:sz w:val="52"/>
          <w:szCs w:val="52"/>
        </w:rPr>
      </w:pPr>
    </w:p>
    <w:p w:rsidR="00A65D11" w:rsidRPr="004249EA" w:rsidRDefault="00A65D11" w:rsidP="00A768D4">
      <w:pPr>
        <w:rPr>
          <w:b/>
          <w:sz w:val="28"/>
          <w:szCs w:val="28"/>
        </w:rPr>
      </w:pPr>
      <w:r w:rsidRPr="004249EA">
        <w:rPr>
          <w:b/>
          <w:sz w:val="28"/>
          <w:szCs w:val="28"/>
        </w:rPr>
        <w:t>Enjoy Breakfast while listening to expert</w:t>
      </w:r>
      <w:r w:rsidR="00A768D4" w:rsidRPr="004249EA">
        <w:rPr>
          <w:b/>
          <w:sz w:val="28"/>
          <w:szCs w:val="28"/>
        </w:rPr>
        <w:t>s from Library Strategies.</w:t>
      </w:r>
    </w:p>
    <w:p w:rsidR="00A65D11" w:rsidRDefault="00A65D11" w:rsidP="00A65D11">
      <w:pPr>
        <w:rPr>
          <w:sz w:val="24"/>
          <w:szCs w:val="24"/>
        </w:rPr>
      </w:pPr>
    </w:p>
    <w:p w:rsidR="00A65D11" w:rsidRDefault="00A65D11" w:rsidP="00A65D11">
      <w:pPr>
        <w:rPr>
          <w:sz w:val="52"/>
          <w:szCs w:val="52"/>
        </w:rPr>
      </w:pPr>
      <w:r>
        <w:rPr>
          <w:sz w:val="52"/>
          <w:szCs w:val="52"/>
        </w:rPr>
        <w:t>Date: Wednesday, January 28, 2015</w:t>
      </w:r>
    </w:p>
    <w:p w:rsidR="00A65D11" w:rsidRDefault="00A65D11" w:rsidP="00A65D11">
      <w:pPr>
        <w:rPr>
          <w:sz w:val="52"/>
          <w:szCs w:val="52"/>
        </w:rPr>
      </w:pPr>
      <w:r>
        <w:rPr>
          <w:sz w:val="52"/>
          <w:szCs w:val="52"/>
        </w:rPr>
        <w:t>10:00am-12pm</w:t>
      </w:r>
    </w:p>
    <w:p w:rsidR="00A65D11" w:rsidRDefault="00A65D11" w:rsidP="00A65D11">
      <w:pPr>
        <w:jc w:val="left"/>
        <w:rPr>
          <w:sz w:val="40"/>
          <w:szCs w:val="40"/>
        </w:rPr>
      </w:pPr>
    </w:p>
    <w:p w:rsidR="00A65D11" w:rsidRPr="00A768D4" w:rsidRDefault="00A65D11" w:rsidP="00A65D11">
      <w:pPr>
        <w:jc w:val="left"/>
        <w:rPr>
          <w:sz w:val="24"/>
          <w:szCs w:val="24"/>
        </w:rPr>
      </w:pPr>
      <w:r w:rsidRPr="00A768D4">
        <w:rPr>
          <w:sz w:val="24"/>
          <w:szCs w:val="24"/>
        </w:rPr>
        <w:t>Where:</w:t>
      </w:r>
      <w:r w:rsidRPr="00A768D4">
        <w:rPr>
          <w:sz w:val="24"/>
          <w:szCs w:val="24"/>
        </w:rPr>
        <w:tab/>
      </w:r>
      <w:r w:rsidRPr="00A768D4">
        <w:rPr>
          <w:sz w:val="24"/>
          <w:szCs w:val="24"/>
        </w:rPr>
        <w:tab/>
      </w:r>
      <w:r w:rsidRPr="00A768D4">
        <w:rPr>
          <w:sz w:val="24"/>
          <w:szCs w:val="24"/>
        </w:rPr>
        <w:tab/>
      </w:r>
      <w:r w:rsidRPr="00A768D4">
        <w:rPr>
          <w:sz w:val="24"/>
          <w:szCs w:val="24"/>
        </w:rPr>
        <w:tab/>
      </w:r>
      <w:r w:rsidRPr="00A768D4">
        <w:rPr>
          <w:sz w:val="24"/>
          <w:szCs w:val="24"/>
        </w:rPr>
        <w:tab/>
      </w:r>
      <w:r w:rsidRPr="00A768D4">
        <w:rPr>
          <w:sz w:val="24"/>
          <w:szCs w:val="24"/>
        </w:rPr>
        <w:tab/>
        <w:t>Cost:</w:t>
      </w:r>
    </w:p>
    <w:p w:rsidR="00A65D11" w:rsidRPr="00A768D4" w:rsidRDefault="00A65D11" w:rsidP="00A65D11">
      <w:pPr>
        <w:jc w:val="left"/>
        <w:rPr>
          <w:sz w:val="24"/>
          <w:szCs w:val="24"/>
        </w:rPr>
      </w:pPr>
      <w:r w:rsidRPr="00A768D4">
        <w:rPr>
          <w:sz w:val="24"/>
          <w:szCs w:val="24"/>
        </w:rPr>
        <w:t>Woods Branch</w:t>
      </w:r>
      <w:r w:rsidRPr="00A768D4">
        <w:rPr>
          <w:sz w:val="24"/>
          <w:szCs w:val="24"/>
        </w:rPr>
        <w:tab/>
      </w:r>
      <w:r w:rsidRPr="00A768D4">
        <w:rPr>
          <w:sz w:val="24"/>
          <w:szCs w:val="24"/>
        </w:rPr>
        <w:tab/>
      </w:r>
      <w:r w:rsidRPr="00A768D4">
        <w:rPr>
          <w:sz w:val="24"/>
          <w:szCs w:val="24"/>
        </w:rPr>
        <w:tab/>
      </w:r>
      <w:r w:rsidRPr="00A768D4">
        <w:rPr>
          <w:sz w:val="24"/>
          <w:szCs w:val="24"/>
        </w:rPr>
        <w:tab/>
      </w:r>
      <w:r w:rsidRPr="00A768D4">
        <w:rPr>
          <w:sz w:val="24"/>
          <w:szCs w:val="24"/>
        </w:rPr>
        <w:tab/>
        <w:t>$25.00 per person</w:t>
      </w:r>
    </w:p>
    <w:p w:rsidR="00A65D11" w:rsidRPr="00A768D4" w:rsidRDefault="00A65D11" w:rsidP="00A65D11">
      <w:pPr>
        <w:jc w:val="left"/>
        <w:rPr>
          <w:sz w:val="24"/>
          <w:szCs w:val="24"/>
        </w:rPr>
      </w:pPr>
      <w:r w:rsidRPr="00A768D4">
        <w:rPr>
          <w:sz w:val="24"/>
          <w:szCs w:val="24"/>
        </w:rPr>
        <w:t>Grosse Pointe Public Library</w:t>
      </w:r>
      <w:r w:rsidRPr="00A768D4">
        <w:rPr>
          <w:sz w:val="24"/>
          <w:szCs w:val="24"/>
        </w:rPr>
        <w:tab/>
      </w:r>
      <w:r w:rsidRPr="00A768D4">
        <w:rPr>
          <w:sz w:val="24"/>
          <w:szCs w:val="24"/>
        </w:rPr>
        <w:tab/>
      </w:r>
      <w:r w:rsidR="00A768D4">
        <w:rPr>
          <w:sz w:val="24"/>
          <w:szCs w:val="24"/>
        </w:rPr>
        <w:tab/>
      </w:r>
      <w:r w:rsidRPr="00A768D4">
        <w:rPr>
          <w:sz w:val="24"/>
          <w:szCs w:val="24"/>
        </w:rPr>
        <w:t>Limited to 50 people</w:t>
      </w:r>
    </w:p>
    <w:p w:rsidR="00A65D11" w:rsidRPr="00A768D4" w:rsidRDefault="00A65D11" w:rsidP="00A65D11">
      <w:pPr>
        <w:jc w:val="left"/>
        <w:rPr>
          <w:sz w:val="24"/>
          <w:szCs w:val="24"/>
        </w:rPr>
      </w:pPr>
      <w:r w:rsidRPr="00A768D4">
        <w:rPr>
          <w:sz w:val="24"/>
          <w:szCs w:val="24"/>
        </w:rPr>
        <w:t>20680 Mack Avenue</w:t>
      </w:r>
      <w:r w:rsidRPr="00A768D4">
        <w:rPr>
          <w:sz w:val="24"/>
          <w:szCs w:val="24"/>
        </w:rPr>
        <w:tab/>
      </w:r>
      <w:r w:rsidRPr="00A768D4">
        <w:rPr>
          <w:sz w:val="24"/>
          <w:szCs w:val="24"/>
        </w:rPr>
        <w:tab/>
      </w:r>
      <w:r w:rsidRPr="00A768D4">
        <w:rPr>
          <w:sz w:val="24"/>
          <w:szCs w:val="24"/>
        </w:rPr>
        <w:tab/>
      </w:r>
      <w:r w:rsidRPr="00A768D4">
        <w:rPr>
          <w:sz w:val="24"/>
          <w:szCs w:val="24"/>
        </w:rPr>
        <w:tab/>
        <w:t>Call 313-343-2325</w:t>
      </w:r>
    </w:p>
    <w:p w:rsidR="00A65D11" w:rsidRPr="00A768D4" w:rsidRDefault="00A65D11" w:rsidP="00A65D11">
      <w:pPr>
        <w:jc w:val="left"/>
        <w:rPr>
          <w:sz w:val="24"/>
          <w:szCs w:val="24"/>
        </w:rPr>
      </w:pPr>
      <w:r w:rsidRPr="00A768D4">
        <w:rPr>
          <w:sz w:val="24"/>
          <w:szCs w:val="24"/>
        </w:rPr>
        <w:t>Grosse Pointe Woods MI 48236</w:t>
      </w:r>
      <w:r w:rsidRPr="00A768D4">
        <w:rPr>
          <w:sz w:val="24"/>
          <w:szCs w:val="24"/>
        </w:rPr>
        <w:tab/>
      </w:r>
      <w:r w:rsidRPr="00A768D4">
        <w:rPr>
          <w:sz w:val="24"/>
          <w:szCs w:val="24"/>
        </w:rPr>
        <w:tab/>
        <w:t>Registration Ends Jan. 23, 2015</w:t>
      </w:r>
      <w:r w:rsidRPr="00A768D4">
        <w:rPr>
          <w:sz w:val="24"/>
          <w:szCs w:val="24"/>
        </w:rPr>
        <w:tab/>
      </w:r>
    </w:p>
    <w:p w:rsidR="00A65D11" w:rsidRDefault="00A65D11" w:rsidP="00A65D11">
      <w:pPr>
        <w:rPr>
          <w:sz w:val="40"/>
          <w:szCs w:val="40"/>
        </w:rPr>
      </w:pPr>
    </w:p>
    <w:p w:rsidR="00A65D11" w:rsidRPr="00A768D4" w:rsidRDefault="00A65D11" w:rsidP="00A65D11">
      <w:pPr>
        <w:jc w:val="left"/>
        <w:rPr>
          <w:sz w:val="24"/>
          <w:szCs w:val="24"/>
        </w:rPr>
      </w:pPr>
      <w:r w:rsidRPr="00A768D4">
        <w:rPr>
          <w:sz w:val="24"/>
          <w:szCs w:val="24"/>
        </w:rPr>
        <w:t>Peter is the lead consultant with Library Strategies Consulting Group</w:t>
      </w:r>
      <w:r w:rsidR="004249EA">
        <w:rPr>
          <w:sz w:val="24"/>
          <w:szCs w:val="24"/>
        </w:rPr>
        <w:t xml:space="preserve"> and has been President of The Friends of the St. Paul Public Library for over 20 years</w:t>
      </w:r>
      <w:r w:rsidRPr="00A768D4">
        <w:rPr>
          <w:sz w:val="24"/>
          <w:szCs w:val="24"/>
        </w:rPr>
        <w:t>. He is recognized as a national expert on all aspects of fundraising for libraries, advocacy, and Friends and Foundations.  Pearson was elected to the American Library Association’</w:t>
      </w:r>
      <w:r w:rsidR="00A768D4" w:rsidRPr="00A768D4">
        <w:rPr>
          <w:sz w:val="24"/>
          <w:szCs w:val="24"/>
        </w:rPr>
        <w:t xml:space="preserve">s Advocacy </w:t>
      </w:r>
      <w:r w:rsidRPr="00A768D4">
        <w:rPr>
          <w:sz w:val="24"/>
          <w:szCs w:val="24"/>
        </w:rPr>
        <w:t xml:space="preserve">Honor Roll in 2005. </w:t>
      </w:r>
    </w:p>
    <w:p w:rsidR="00A768D4" w:rsidRPr="00A768D4" w:rsidRDefault="00A768D4" w:rsidP="00A65D11">
      <w:pPr>
        <w:jc w:val="left"/>
        <w:rPr>
          <w:sz w:val="24"/>
          <w:szCs w:val="24"/>
        </w:rPr>
      </w:pPr>
    </w:p>
    <w:p w:rsidR="00A768D4" w:rsidRDefault="00A768D4" w:rsidP="00A65D11">
      <w:pPr>
        <w:jc w:val="left"/>
        <w:rPr>
          <w:sz w:val="24"/>
          <w:szCs w:val="24"/>
        </w:rPr>
      </w:pPr>
      <w:r w:rsidRPr="00A768D4">
        <w:rPr>
          <w:sz w:val="24"/>
          <w:szCs w:val="24"/>
        </w:rPr>
        <w:t>Sue Hall is the Director of Library Strategies and lead consultant and also coordinates Opus &amp; Olives, the major fundraiser for The Friends of the St. Paul Public Library. Hall has over 20 years of consulting experience with libraries and library organizations. Her consulting services include conducting organizational assessments and facilitating strategic and development planning.</w:t>
      </w:r>
    </w:p>
    <w:p w:rsidR="00CB79C7" w:rsidRDefault="00CB79C7" w:rsidP="00A65D11">
      <w:pPr>
        <w:jc w:val="left"/>
        <w:rPr>
          <w:sz w:val="24"/>
          <w:szCs w:val="24"/>
        </w:rPr>
      </w:pPr>
    </w:p>
    <w:p w:rsidR="00CB79C7" w:rsidRDefault="00CB79C7" w:rsidP="00A65D11">
      <w:pPr>
        <w:jc w:val="left"/>
        <w:rPr>
          <w:sz w:val="24"/>
          <w:szCs w:val="24"/>
        </w:rPr>
      </w:pPr>
      <w:r>
        <w:rPr>
          <w:sz w:val="24"/>
          <w:szCs w:val="24"/>
        </w:rPr>
        <w:t>Presented by:</w:t>
      </w:r>
    </w:p>
    <w:tbl>
      <w:tblPr>
        <w:tblStyle w:val="TableGrid"/>
        <w:tblW w:w="0" w:type="auto"/>
        <w:tblLook w:val="04A0" w:firstRow="1" w:lastRow="0" w:firstColumn="1" w:lastColumn="0" w:noHBand="0" w:noVBand="1"/>
      </w:tblPr>
      <w:tblGrid>
        <w:gridCol w:w="3192"/>
        <w:gridCol w:w="3192"/>
        <w:gridCol w:w="3192"/>
      </w:tblGrid>
      <w:tr w:rsidR="00CB79C7" w:rsidTr="00CB79C7">
        <w:tc>
          <w:tcPr>
            <w:tcW w:w="3192" w:type="dxa"/>
          </w:tcPr>
          <w:p w:rsidR="00CB79C7" w:rsidRDefault="00CB79C7" w:rsidP="00CB79C7">
            <w:pPr>
              <w:rPr>
                <w:sz w:val="24"/>
                <w:szCs w:val="24"/>
              </w:rPr>
            </w:pPr>
            <w:r>
              <w:rPr>
                <w:noProof/>
                <w:sz w:val="24"/>
                <w:szCs w:val="24"/>
              </w:rPr>
              <w:drawing>
                <wp:inline distT="0" distB="0" distL="0" distR="0">
                  <wp:extent cx="1704975" cy="91017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LF Logo all_blue.jpg"/>
                          <pic:cNvPicPr/>
                        </pic:nvPicPr>
                        <pic:blipFill>
                          <a:blip r:embed="rId5">
                            <a:extLst>
                              <a:ext uri="{28A0092B-C50C-407E-A947-70E740481C1C}">
                                <a14:useLocalDpi xmlns:a14="http://schemas.microsoft.com/office/drawing/2010/main" val="0"/>
                              </a:ext>
                            </a:extLst>
                          </a:blip>
                          <a:stretch>
                            <a:fillRect/>
                          </a:stretch>
                        </pic:blipFill>
                        <pic:spPr>
                          <a:xfrm>
                            <a:off x="0" y="0"/>
                            <a:ext cx="1709617" cy="912653"/>
                          </a:xfrm>
                          <a:prstGeom prst="rect">
                            <a:avLst/>
                          </a:prstGeom>
                        </pic:spPr>
                      </pic:pic>
                    </a:graphicData>
                  </a:graphic>
                </wp:inline>
              </w:drawing>
            </w:r>
          </w:p>
        </w:tc>
        <w:tc>
          <w:tcPr>
            <w:tcW w:w="3192" w:type="dxa"/>
          </w:tcPr>
          <w:p w:rsidR="00CB79C7" w:rsidRDefault="00CB79C7" w:rsidP="00CB79C7">
            <w:pPr>
              <w:rPr>
                <w:sz w:val="24"/>
                <w:szCs w:val="24"/>
              </w:rPr>
            </w:pPr>
            <w:r>
              <w:rPr>
                <w:noProof/>
                <w:sz w:val="24"/>
                <w:szCs w:val="24"/>
              </w:rPr>
              <w:drawing>
                <wp:inline distT="0" distB="0" distL="0" distR="0" wp14:anchorId="7475104C" wp14:editId="49FF3AA1">
                  <wp:extent cx="1759567"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6585" cy="918047"/>
                          </a:xfrm>
                          <a:prstGeom prst="rect">
                            <a:avLst/>
                          </a:prstGeom>
                        </pic:spPr>
                      </pic:pic>
                    </a:graphicData>
                  </a:graphic>
                </wp:inline>
              </w:drawing>
            </w:r>
          </w:p>
        </w:tc>
        <w:tc>
          <w:tcPr>
            <w:tcW w:w="3192" w:type="dxa"/>
          </w:tcPr>
          <w:p w:rsidR="00CB79C7" w:rsidRDefault="00CB79C7" w:rsidP="00CB79C7">
            <w:pPr>
              <w:rPr>
                <w:sz w:val="24"/>
                <w:szCs w:val="24"/>
              </w:rPr>
            </w:pPr>
            <w:r>
              <w:rPr>
                <w:noProof/>
                <w:sz w:val="24"/>
                <w:szCs w:val="24"/>
              </w:rPr>
              <w:drawing>
                <wp:inline distT="0" distB="0" distL="0" distR="0" wp14:anchorId="5F791877" wp14:editId="43AC6F3D">
                  <wp:extent cx="904875" cy="8767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nds Logo2.gif"/>
                          <pic:cNvPicPr/>
                        </pic:nvPicPr>
                        <pic:blipFill>
                          <a:blip r:embed="rId7">
                            <a:extLst>
                              <a:ext uri="{28A0092B-C50C-407E-A947-70E740481C1C}">
                                <a14:useLocalDpi xmlns:a14="http://schemas.microsoft.com/office/drawing/2010/main" val="0"/>
                              </a:ext>
                            </a:extLst>
                          </a:blip>
                          <a:stretch>
                            <a:fillRect/>
                          </a:stretch>
                        </pic:blipFill>
                        <pic:spPr>
                          <a:xfrm>
                            <a:off x="0" y="0"/>
                            <a:ext cx="906411" cy="878262"/>
                          </a:xfrm>
                          <a:prstGeom prst="rect">
                            <a:avLst/>
                          </a:prstGeom>
                        </pic:spPr>
                      </pic:pic>
                    </a:graphicData>
                  </a:graphic>
                </wp:inline>
              </w:drawing>
            </w:r>
          </w:p>
        </w:tc>
      </w:tr>
    </w:tbl>
    <w:p w:rsidR="00CB79C7" w:rsidRPr="00A768D4" w:rsidRDefault="00CB79C7" w:rsidP="00A65D11">
      <w:pPr>
        <w:jc w:val="left"/>
        <w:rPr>
          <w:sz w:val="24"/>
          <w:szCs w:val="24"/>
        </w:rPr>
      </w:pPr>
      <w:bookmarkStart w:id="0" w:name="_GoBack"/>
      <w:bookmarkEnd w:id="0"/>
    </w:p>
    <w:sectPr w:rsidR="00CB79C7" w:rsidRPr="00A768D4" w:rsidSect="00CB79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D11"/>
    <w:rsid w:val="004249EA"/>
    <w:rsid w:val="005077E4"/>
    <w:rsid w:val="00A2784A"/>
    <w:rsid w:val="00A65D11"/>
    <w:rsid w:val="00A768D4"/>
    <w:rsid w:val="00CB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9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9C7"/>
    <w:rPr>
      <w:rFonts w:ascii="Tahoma" w:hAnsi="Tahoma" w:cs="Tahoma"/>
      <w:sz w:val="16"/>
      <w:szCs w:val="16"/>
    </w:rPr>
  </w:style>
  <w:style w:type="table" w:styleId="TableGrid">
    <w:name w:val="Table Grid"/>
    <w:basedOn w:val="TableNormal"/>
    <w:uiPriority w:val="59"/>
    <w:rsid w:val="00CB79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9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9C7"/>
    <w:rPr>
      <w:rFonts w:ascii="Tahoma" w:hAnsi="Tahoma" w:cs="Tahoma"/>
      <w:sz w:val="16"/>
      <w:szCs w:val="16"/>
    </w:rPr>
  </w:style>
  <w:style w:type="table" w:styleId="TableGrid">
    <w:name w:val="Table Grid"/>
    <w:basedOn w:val="TableNormal"/>
    <w:uiPriority w:val="59"/>
    <w:rsid w:val="00CB79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Vickey Bloom</dc:creator>
  <cp:lastModifiedBy>Vickey Bloom</cp:lastModifiedBy>
  <cp:revision>3</cp:revision>
  <dcterms:created xsi:type="dcterms:W3CDTF">2014-12-15T15:32:00Z</dcterms:created>
  <dcterms:modified xsi:type="dcterms:W3CDTF">2014-12-15T18:39:00Z</dcterms:modified>
</cp:coreProperties>
</file>