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CB" w:rsidRDefault="00FB2CBB">
      <w:r>
        <w:rPr>
          <w:noProof/>
        </w:rPr>
        <w:drawing>
          <wp:inline distT="0" distB="0" distL="0" distR="0">
            <wp:extent cx="5715000" cy="1304925"/>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5" cstate="print"/>
                    <a:srcRect/>
                    <a:stretch>
                      <a:fillRect/>
                    </a:stretch>
                  </pic:blipFill>
                  <pic:spPr bwMode="auto">
                    <a:xfrm>
                      <a:off x="0" y="0"/>
                      <a:ext cx="5715000" cy="1304925"/>
                    </a:xfrm>
                    <a:prstGeom prst="rect">
                      <a:avLst/>
                    </a:prstGeom>
                    <a:noFill/>
                    <a:ln w="9525">
                      <a:noFill/>
                      <a:miter lim="800000"/>
                      <a:headEnd/>
                      <a:tailEnd/>
                    </a:ln>
                  </pic:spPr>
                </pic:pic>
              </a:graphicData>
            </a:graphic>
          </wp:inline>
        </w:drawing>
      </w:r>
    </w:p>
    <w:tbl>
      <w:tblPr>
        <w:tblW w:w="9000" w:type="dxa"/>
        <w:tblCellSpacing w:w="0" w:type="dxa"/>
        <w:tblBorders>
          <w:top w:val="single" w:sz="6" w:space="0" w:color="343434"/>
          <w:left w:val="single" w:sz="6" w:space="0" w:color="343434"/>
          <w:bottom w:val="single" w:sz="6" w:space="0" w:color="343434"/>
          <w:right w:val="single" w:sz="6" w:space="0" w:color="343434"/>
        </w:tblBorders>
        <w:shd w:val="clear" w:color="auto" w:fill="FFFFFF"/>
        <w:tblCellMar>
          <w:left w:w="0" w:type="dxa"/>
          <w:right w:w="0" w:type="dxa"/>
        </w:tblCellMar>
        <w:tblLook w:val="04A0"/>
      </w:tblPr>
      <w:tblGrid>
        <w:gridCol w:w="1383"/>
        <w:gridCol w:w="7814"/>
        <w:gridCol w:w="71"/>
      </w:tblGrid>
      <w:tr w:rsidR="00FB2CBB" w:rsidRPr="00FB2CBB" w:rsidTr="00FB2CBB">
        <w:trPr>
          <w:gridAfter w:val="1"/>
          <w:wAfter w:w="675" w:type="dxa"/>
          <w:tblCellSpacing w:w="0" w:type="dxa"/>
        </w:trPr>
        <w:tc>
          <w:tcPr>
            <w:tcW w:w="7650" w:type="dxa"/>
            <w:shd w:val="clear" w:color="auto" w:fill="FFFFFF"/>
            <w:vAlign w:val="center"/>
            <w:hideMark/>
          </w:tcPr>
          <w:p w:rsidR="00FB2CBB" w:rsidRPr="00FB2CBB" w:rsidRDefault="00FB2CBB" w:rsidP="00FB2CBB">
            <w:pPr>
              <w:spacing w:after="0" w:line="240" w:lineRule="auto"/>
              <w:rPr>
                <w:rFonts w:ascii="Arial" w:eastAsia="Times New Roman" w:hAnsi="Arial" w:cs="Arial"/>
                <w:color w:val="006E45"/>
                <w:sz w:val="30"/>
                <w:szCs w:val="30"/>
              </w:rPr>
            </w:pPr>
            <w:r w:rsidRPr="00FB2CBB">
              <w:rPr>
                <w:rFonts w:ascii="Arial" w:eastAsia="Times New Roman" w:hAnsi="Arial" w:cs="Arial"/>
                <w:color w:val="006E45"/>
                <w:sz w:val="30"/>
                <w:szCs w:val="30"/>
              </w:rPr>
              <w:br/>
              <w:t>A summary of taxes and fees</w:t>
            </w:r>
            <w:r w:rsidRPr="00FB2CBB">
              <w:rPr>
                <w:rFonts w:ascii="Arial" w:eastAsia="Times New Roman" w:hAnsi="Arial" w:cs="Arial"/>
                <w:color w:val="006E45"/>
                <w:sz w:val="30"/>
                <w:szCs w:val="30"/>
              </w:rPr>
              <w:br/>
              <w:t>assessed by the Affordable Care Act</w:t>
            </w:r>
            <w:r w:rsidRPr="00FB2CBB">
              <w:rPr>
                <w:rFonts w:ascii="Arial" w:eastAsia="Times New Roman" w:hAnsi="Arial" w:cs="Arial"/>
                <w:color w:val="006E45"/>
                <w:sz w:val="30"/>
              </w:rPr>
              <w:t> </w:t>
            </w:r>
          </w:p>
        </w:tc>
        <w:tc>
          <w:tcPr>
            <w:tcW w:w="675"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r>
      <w:tr w:rsidR="00FB2CBB" w:rsidRPr="00FB2CBB" w:rsidTr="00FB2CBB">
        <w:trPr>
          <w:tblCellSpacing w:w="0" w:type="dxa"/>
        </w:trPr>
        <w:tc>
          <w:tcPr>
            <w:tcW w:w="675"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c>
          <w:tcPr>
            <w:tcW w:w="7650" w:type="dxa"/>
            <w:shd w:val="clear" w:color="auto" w:fill="FFFFFF"/>
            <w:vAlign w:val="center"/>
            <w:hideMark/>
          </w:tcPr>
          <w:p w:rsidR="00FB2CBB" w:rsidRPr="00FB2CBB" w:rsidRDefault="00FB2CBB" w:rsidP="00FB2CBB">
            <w:pPr>
              <w:spacing w:after="0" w:line="240" w:lineRule="auto"/>
              <w:rPr>
                <w:rFonts w:ascii="Arial" w:eastAsia="Times New Roman" w:hAnsi="Arial" w:cs="Arial"/>
                <w:color w:val="343434"/>
                <w:sz w:val="18"/>
                <w:szCs w:val="18"/>
              </w:rPr>
            </w:pPr>
            <w:r w:rsidRPr="00FB2CBB">
              <w:rPr>
                <w:rFonts w:ascii="Arial" w:eastAsia="Times New Roman" w:hAnsi="Arial" w:cs="Arial"/>
                <w:color w:val="343434"/>
                <w:sz w:val="18"/>
                <w:szCs w:val="18"/>
              </w:rPr>
              <w:t>Jan. 31, 2013</w:t>
            </w:r>
          </w:p>
        </w:tc>
        <w:tc>
          <w:tcPr>
            <w:tcW w:w="675"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r>
      <w:tr w:rsidR="00FB2CBB" w:rsidRPr="00FB2CBB" w:rsidTr="00FB2CBB">
        <w:trPr>
          <w:tblCellSpacing w:w="0" w:type="dxa"/>
        </w:trPr>
        <w:tc>
          <w:tcPr>
            <w:tcW w:w="675"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c>
          <w:tcPr>
            <w:tcW w:w="7650"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p>
        </w:tc>
        <w:tc>
          <w:tcPr>
            <w:tcW w:w="675"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r>
      <w:tr w:rsidR="00FB2CBB" w:rsidRPr="00FB2CBB" w:rsidTr="00FB2CBB">
        <w:trPr>
          <w:tblCellSpacing w:w="0" w:type="dxa"/>
        </w:trPr>
        <w:tc>
          <w:tcPr>
            <w:tcW w:w="675"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c>
          <w:tcPr>
            <w:tcW w:w="7650" w:type="dxa"/>
            <w:shd w:val="clear" w:color="auto" w:fill="FFFFFF"/>
            <w:vAlign w:val="center"/>
            <w:hideMark/>
          </w:tcPr>
          <w:p w:rsidR="00FB2CBB" w:rsidRPr="00FB2CBB" w:rsidRDefault="00FB2CBB" w:rsidP="00FB2CBB">
            <w:p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color w:val="343434"/>
                <w:sz w:val="18"/>
                <w:szCs w:val="18"/>
              </w:rPr>
              <w:t>One of the biggest questions asked about health reform is "how are we going to pay for all of this?" Unfortunately, the answer is taxes.</w:t>
            </w:r>
          </w:p>
          <w:p w:rsidR="00FB2CBB" w:rsidRPr="00FB2CBB" w:rsidRDefault="00FB2CBB" w:rsidP="00FB2CBB">
            <w:p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color w:val="343434"/>
                <w:sz w:val="18"/>
                <w:szCs w:val="18"/>
              </w:rPr>
              <w:t>Under the Affordable Care Act, five new taxes and fees will be added to the purchase of health insurance. The rules, timing and amounts for each of these vary so we're providing a summary table with explanation for your convenience.</w:t>
            </w:r>
          </w:p>
          <w:p w:rsidR="00FB2CBB" w:rsidRPr="00FB2CBB" w:rsidRDefault="00FB2CBB" w:rsidP="00FB2CBB">
            <w:p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color w:val="343434"/>
                <w:sz w:val="18"/>
                <w:szCs w:val="18"/>
              </w:rPr>
              <w:t>First, let's run down the purpose of each of the taxes and fees:</w:t>
            </w:r>
          </w:p>
          <w:p w:rsidR="00FB2CBB" w:rsidRPr="00FB2CBB" w:rsidRDefault="00FB2CBB" w:rsidP="00FB2CBB">
            <w:pPr>
              <w:numPr>
                <w:ilvl w:val="0"/>
                <w:numId w:val="1"/>
              </w:num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b/>
                <w:bCs/>
                <w:color w:val="343434"/>
                <w:sz w:val="18"/>
                <w:szCs w:val="18"/>
              </w:rPr>
              <w:t>Annual fee on health insurance carriers</w:t>
            </w:r>
            <w:r w:rsidRPr="00FB2CBB">
              <w:rPr>
                <w:rFonts w:ascii="Arial" w:eastAsia="Times New Roman" w:hAnsi="Arial" w:cs="Arial"/>
                <w:color w:val="343434"/>
                <w:sz w:val="18"/>
              </w:rPr>
              <w:t> </w:t>
            </w:r>
            <w:r w:rsidRPr="00FB2CBB">
              <w:rPr>
                <w:rFonts w:ascii="Arial" w:eastAsia="Times New Roman" w:hAnsi="Arial" w:cs="Arial"/>
                <w:color w:val="343434"/>
                <w:sz w:val="18"/>
                <w:szCs w:val="18"/>
              </w:rPr>
              <w:t xml:space="preserve">— </w:t>
            </w:r>
            <w:proofErr w:type="gramStart"/>
            <w:r w:rsidRPr="00FB2CBB">
              <w:rPr>
                <w:rFonts w:ascii="Arial" w:eastAsia="Times New Roman" w:hAnsi="Arial" w:cs="Arial"/>
                <w:color w:val="343434"/>
                <w:sz w:val="18"/>
                <w:szCs w:val="18"/>
              </w:rPr>
              <w:t>This</w:t>
            </w:r>
            <w:proofErr w:type="gramEnd"/>
            <w:r w:rsidRPr="00FB2CBB">
              <w:rPr>
                <w:rFonts w:ascii="Arial" w:eastAsia="Times New Roman" w:hAnsi="Arial" w:cs="Arial"/>
                <w:color w:val="343434"/>
                <w:sz w:val="18"/>
                <w:szCs w:val="18"/>
              </w:rPr>
              <w:t xml:space="preserve"> annual fee will be assessed on all fully funded health plans based on premium. (Note: Final regulations have not been released on this fee.)</w:t>
            </w:r>
          </w:p>
          <w:p w:rsidR="00FB2CBB" w:rsidRPr="00FB2CBB" w:rsidRDefault="00FB2CBB" w:rsidP="00FB2CBB">
            <w:pPr>
              <w:numPr>
                <w:ilvl w:val="0"/>
                <w:numId w:val="1"/>
              </w:num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b/>
                <w:bCs/>
                <w:color w:val="343434"/>
                <w:sz w:val="18"/>
                <w:szCs w:val="18"/>
              </w:rPr>
              <w:t>Transitional Reinsurance Program</w:t>
            </w:r>
            <w:r w:rsidRPr="00FB2CBB">
              <w:rPr>
                <w:rFonts w:ascii="Arial" w:eastAsia="Times New Roman" w:hAnsi="Arial" w:cs="Arial"/>
                <w:color w:val="343434"/>
                <w:sz w:val="18"/>
              </w:rPr>
              <w:t> </w:t>
            </w:r>
            <w:r w:rsidRPr="00FB2CBB">
              <w:rPr>
                <w:rFonts w:ascii="Arial" w:eastAsia="Times New Roman" w:hAnsi="Arial" w:cs="Arial"/>
                <w:color w:val="343434"/>
                <w:sz w:val="18"/>
                <w:szCs w:val="18"/>
              </w:rPr>
              <w:t>— Fees collected from all commercial plans (fully and self funded) sold both on and off the exchange and in both the group and the individual markets. This will be used to pay for high-cost claimants insured in the individual market throughout the country. The program is temporary and runs from 2014 through 2016.</w:t>
            </w:r>
          </w:p>
          <w:p w:rsidR="00FB2CBB" w:rsidRPr="00FB2CBB" w:rsidRDefault="00FB2CBB" w:rsidP="00FB2CBB">
            <w:pPr>
              <w:numPr>
                <w:ilvl w:val="0"/>
                <w:numId w:val="1"/>
              </w:num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b/>
                <w:bCs/>
                <w:color w:val="343434"/>
                <w:sz w:val="18"/>
                <w:szCs w:val="18"/>
              </w:rPr>
              <w:t>Risk Adjustment Admin fee</w:t>
            </w:r>
            <w:r w:rsidRPr="00FB2CBB">
              <w:rPr>
                <w:rFonts w:ascii="Arial" w:eastAsia="Times New Roman" w:hAnsi="Arial" w:cs="Arial"/>
                <w:color w:val="343434"/>
                <w:sz w:val="18"/>
              </w:rPr>
              <w:t> </w:t>
            </w:r>
            <w:r w:rsidRPr="00FB2CBB">
              <w:rPr>
                <w:rFonts w:ascii="Arial" w:eastAsia="Times New Roman" w:hAnsi="Arial" w:cs="Arial"/>
                <w:color w:val="343434"/>
                <w:sz w:val="18"/>
                <w:szCs w:val="18"/>
              </w:rPr>
              <w:t>— A fee used to develop a risk adjustment methodology that will compensate certain plans with membership that is less healthy than average by assessing plans with membership that is healthier than average. This fee is assessed on all individual and small group policies.</w:t>
            </w:r>
          </w:p>
          <w:p w:rsidR="00FB2CBB" w:rsidRPr="00FB2CBB" w:rsidRDefault="00FB2CBB" w:rsidP="00FB2CBB">
            <w:pPr>
              <w:numPr>
                <w:ilvl w:val="0"/>
                <w:numId w:val="1"/>
              </w:num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b/>
                <w:bCs/>
                <w:color w:val="343434"/>
                <w:sz w:val="18"/>
                <w:szCs w:val="18"/>
              </w:rPr>
              <w:t>Patient-Centered Outcomes Research Institute (PCORI) fee</w:t>
            </w:r>
            <w:r w:rsidRPr="00FB2CBB">
              <w:rPr>
                <w:rFonts w:ascii="Arial" w:eastAsia="Times New Roman" w:hAnsi="Arial" w:cs="Arial"/>
                <w:color w:val="343434"/>
                <w:sz w:val="18"/>
              </w:rPr>
              <w:t> </w:t>
            </w:r>
            <w:r w:rsidRPr="00FB2CBB">
              <w:rPr>
                <w:rFonts w:ascii="Arial" w:eastAsia="Times New Roman" w:hAnsi="Arial" w:cs="Arial"/>
                <w:color w:val="343434"/>
                <w:sz w:val="18"/>
                <w:szCs w:val="18"/>
              </w:rPr>
              <w:t xml:space="preserve">— </w:t>
            </w:r>
            <w:proofErr w:type="gramStart"/>
            <w:r w:rsidRPr="00FB2CBB">
              <w:rPr>
                <w:rFonts w:ascii="Arial" w:eastAsia="Times New Roman" w:hAnsi="Arial" w:cs="Arial"/>
                <w:color w:val="343434"/>
                <w:sz w:val="18"/>
                <w:szCs w:val="18"/>
              </w:rPr>
              <w:t>This</w:t>
            </w:r>
            <w:proofErr w:type="gramEnd"/>
            <w:r w:rsidRPr="00FB2CBB">
              <w:rPr>
                <w:rFonts w:ascii="Arial" w:eastAsia="Times New Roman" w:hAnsi="Arial" w:cs="Arial"/>
                <w:color w:val="343434"/>
                <w:sz w:val="18"/>
                <w:szCs w:val="18"/>
              </w:rPr>
              <w:t xml:space="preserve"> fee will fund the PCORI, which conducts comparative effectiveness research. The fee will also be assessed on all fully-insured and self-funded plans including health reimbursement arrangements. The fee will be from 2012 through 2019. Self-funded employer groups are responsible for paying this assessment and filing an annual excise tax return (Form 720) with the IRS.</w:t>
            </w:r>
          </w:p>
          <w:p w:rsidR="00FB2CBB" w:rsidRPr="00FB2CBB" w:rsidRDefault="00FB2CBB" w:rsidP="00FB2CBB">
            <w:pPr>
              <w:numPr>
                <w:ilvl w:val="0"/>
                <w:numId w:val="1"/>
              </w:num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b/>
                <w:bCs/>
                <w:color w:val="343434"/>
                <w:sz w:val="18"/>
                <w:szCs w:val="18"/>
              </w:rPr>
              <w:t>Exchange user fee</w:t>
            </w:r>
            <w:r w:rsidRPr="00FB2CBB">
              <w:rPr>
                <w:rFonts w:ascii="Arial" w:eastAsia="Times New Roman" w:hAnsi="Arial" w:cs="Arial"/>
                <w:color w:val="343434"/>
                <w:sz w:val="18"/>
              </w:rPr>
              <w:t> </w:t>
            </w:r>
            <w:r w:rsidRPr="00FB2CBB">
              <w:rPr>
                <w:rFonts w:ascii="Arial" w:eastAsia="Times New Roman" w:hAnsi="Arial" w:cs="Arial"/>
                <w:color w:val="343434"/>
                <w:sz w:val="18"/>
                <w:szCs w:val="18"/>
              </w:rPr>
              <w:t>— Fee that will be applied to all plans purchased from the exchange both individual and Small Business Health Options Program (SHOP).</w:t>
            </w:r>
          </w:p>
          <w:p w:rsidR="00FB2CBB" w:rsidRPr="00FB2CBB" w:rsidRDefault="00FB2CBB" w:rsidP="00FB2CBB">
            <w:p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color w:val="343434"/>
                <w:sz w:val="18"/>
                <w:szCs w:val="18"/>
              </w:rPr>
              <w:lastRenderedPageBreak/>
              <w:t>Finally, let's review what these fees would look like against 2013 average premiums.</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1321"/>
              <w:gridCol w:w="787"/>
              <w:gridCol w:w="898"/>
              <w:gridCol w:w="687"/>
              <w:gridCol w:w="1054"/>
              <w:gridCol w:w="1143"/>
              <w:gridCol w:w="976"/>
              <w:gridCol w:w="932"/>
            </w:tblGrid>
            <w:tr w:rsidR="00FB2CBB" w:rsidRPr="00FB2CBB">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r w:rsidRPr="00FB2CBB">
                    <w:rPr>
                      <w:rFonts w:ascii="Arial" w:eastAsia="Times New Roman" w:hAnsi="Arial" w:cs="Arial"/>
                      <w:b/>
                      <w:bCs/>
                      <w:sz w:val="20"/>
                      <w:szCs w:val="20"/>
                    </w:rPr>
                    <w:t> </w:t>
                  </w:r>
                </w:p>
              </w:tc>
              <w:tc>
                <w:tcPr>
                  <w:tcW w:w="500" w:type="pct"/>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r w:rsidRPr="00FB2CBB">
                    <w:rPr>
                      <w:rFonts w:ascii="Arial" w:eastAsia="Times New Roman" w:hAnsi="Arial" w:cs="Arial"/>
                      <w:b/>
                      <w:bCs/>
                      <w:sz w:val="20"/>
                      <w:szCs w:val="20"/>
                    </w:rPr>
                    <w:t>Self-funded</w:t>
                  </w:r>
                </w:p>
              </w:tc>
              <w:tc>
                <w:tcPr>
                  <w:tcW w:w="500" w:type="pct"/>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r w:rsidRPr="00FB2CBB">
                    <w:rPr>
                      <w:rFonts w:ascii="Arial" w:eastAsia="Times New Roman" w:hAnsi="Arial" w:cs="Arial"/>
                      <w:b/>
                      <w:bCs/>
                      <w:sz w:val="20"/>
                      <w:szCs w:val="20"/>
                    </w:rPr>
                    <w:t>Small group</w:t>
                  </w:r>
                </w:p>
              </w:tc>
              <w:tc>
                <w:tcPr>
                  <w:tcW w:w="500" w:type="pct"/>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r w:rsidRPr="00FB2CBB">
                    <w:rPr>
                      <w:rFonts w:ascii="Arial" w:eastAsia="Times New Roman" w:hAnsi="Arial" w:cs="Arial"/>
                      <w:b/>
                      <w:bCs/>
                      <w:sz w:val="20"/>
                      <w:szCs w:val="20"/>
                    </w:rPr>
                    <w:t>Large group</w:t>
                  </w:r>
                </w:p>
              </w:tc>
              <w:tc>
                <w:tcPr>
                  <w:tcW w:w="500" w:type="pct"/>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r w:rsidRPr="00FB2CBB">
                    <w:rPr>
                      <w:rFonts w:ascii="Arial" w:eastAsia="Times New Roman" w:hAnsi="Arial" w:cs="Arial"/>
                      <w:b/>
                      <w:bCs/>
                      <w:sz w:val="20"/>
                      <w:szCs w:val="20"/>
                    </w:rPr>
                    <w:t>Individual</w:t>
                  </w:r>
                </w:p>
              </w:tc>
              <w:tc>
                <w:tcPr>
                  <w:tcW w:w="500" w:type="pct"/>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r w:rsidRPr="00FB2CBB">
                    <w:rPr>
                      <w:rFonts w:ascii="Arial" w:eastAsia="Times New Roman" w:hAnsi="Arial" w:cs="Arial"/>
                      <w:b/>
                      <w:bCs/>
                      <w:sz w:val="20"/>
                      <w:szCs w:val="20"/>
                    </w:rPr>
                    <w:t>Medicare Advantage</w:t>
                  </w:r>
                </w:p>
              </w:tc>
              <w:tc>
                <w:tcPr>
                  <w:tcW w:w="500" w:type="pct"/>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r w:rsidRPr="00FB2CBB">
                    <w:rPr>
                      <w:rFonts w:ascii="Arial" w:eastAsia="Times New Roman" w:hAnsi="Arial" w:cs="Arial"/>
                      <w:b/>
                      <w:bCs/>
                      <w:sz w:val="20"/>
                      <w:szCs w:val="20"/>
                    </w:rPr>
                    <w:t>Medicaid</w:t>
                  </w:r>
                </w:p>
              </w:tc>
              <w:tc>
                <w:tcPr>
                  <w:tcW w:w="500" w:type="pct"/>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proofErr w:type="spellStart"/>
                  <w:r w:rsidRPr="00FB2CBB">
                    <w:rPr>
                      <w:rFonts w:ascii="Arial" w:eastAsia="Times New Roman" w:hAnsi="Arial" w:cs="Arial"/>
                      <w:b/>
                      <w:bCs/>
                      <w:sz w:val="20"/>
                      <w:szCs w:val="20"/>
                    </w:rPr>
                    <w:t>Medigap</w:t>
                  </w:r>
                  <w:proofErr w:type="spellEnd"/>
                </w:p>
              </w:tc>
            </w:tr>
            <w:tr w:rsidR="00FB2CBB" w:rsidRPr="00FB2CB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rPr>
                      <w:rFonts w:ascii="Arial" w:eastAsia="Times New Roman" w:hAnsi="Arial" w:cs="Arial"/>
                      <w:b/>
                      <w:bCs/>
                      <w:sz w:val="20"/>
                      <w:szCs w:val="20"/>
                    </w:rPr>
                  </w:pPr>
                  <w:r w:rsidRPr="00FB2CBB">
                    <w:rPr>
                      <w:rFonts w:ascii="Arial" w:eastAsia="Times New Roman" w:hAnsi="Arial" w:cs="Arial"/>
                      <w:b/>
                      <w:bCs/>
                      <w:sz w:val="20"/>
                      <w:szCs w:val="20"/>
                    </w:rPr>
                    <w:t>Annual fee on health insurance carriers*</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2.5%-4.0% of premium (PPO)</w:t>
                  </w:r>
                  <w:r w:rsidRPr="00FB2CBB">
                    <w:rPr>
                      <w:rFonts w:ascii="Arial" w:eastAsia="Times New Roman" w:hAnsi="Arial" w:cs="Arial"/>
                      <w:sz w:val="20"/>
                      <w:szCs w:val="20"/>
                    </w:rPr>
                    <w:br/>
                    <w:t>0.75%-1.5% of premium (HMO/POS)</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0.75%-1.5% of premium</w:t>
                  </w:r>
                </w:p>
              </w:tc>
            </w:tr>
            <w:tr w:rsidR="00FB2CBB" w:rsidRPr="00FB2CB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rPr>
                      <w:rFonts w:ascii="Arial" w:eastAsia="Times New Roman" w:hAnsi="Arial" w:cs="Arial"/>
                      <w:b/>
                      <w:bCs/>
                      <w:sz w:val="20"/>
                      <w:szCs w:val="20"/>
                    </w:rPr>
                  </w:pPr>
                  <w:r w:rsidRPr="00FB2CBB">
                    <w:rPr>
                      <w:rFonts w:ascii="Arial" w:eastAsia="Times New Roman" w:hAnsi="Arial" w:cs="Arial"/>
                      <w:b/>
                      <w:bCs/>
                      <w:sz w:val="20"/>
                      <w:szCs w:val="20"/>
                    </w:rPr>
                    <w:t>Transitional Reinsurance Program</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$5.25 PMPM beginning in 2014. However, the fee is subject to change if not enough is collected nationally.</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r>
            <w:tr w:rsidR="00FB2CBB" w:rsidRPr="00FB2CB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rPr>
                      <w:rFonts w:ascii="Arial" w:eastAsia="Times New Roman" w:hAnsi="Arial" w:cs="Arial"/>
                      <w:b/>
                      <w:bCs/>
                      <w:sz w:val="20"/>
                      <w:szCs w:val="20"/>
                    </w:rPr>
                  </w:pPr>
                  <w:r w:rsidRPr="00FB2CBB">
                    <w:rPr>
                      <w:rFonts w:ascii="Arial" w:eastAsia="Times New Roman" w:hAnsi="Arial" w:cs="Arial"/>
                      <w:b/>
                      <w:bCs/>
                      <w:sz w:val="20"/>
                      <w:szCs w:val="20"/>
                    </w:rPr>
                    <w:t>Risk Adjustment Admin Fee**</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$1 PMPY</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$1 PMPY</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r>
            <w:tr w:rsidR="00FB2CBB" w:rsidRPr="00FB2CB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rPr>
                      <w:rFonts w:ascii="Arial" w:eastAsia="Times New Roman" w:hAnsi="Arial" w:cs="Arial"/>
                      <w:b/>
                      <w:bCs/>
                      <w:sz w:val="20"/>
                      <w:szCs w:val="20"/>
                    </w:rPr>
                  </w:pPr>
                  <w:r w:rsidRPr="00FB2CBB">
                    <w:rPr>
                      <w:rFonts w:ascii="Arial" w:eastAsia="Times New Roman" w:hAnsi="Arial" w:cs="Arial"/>
                      <w:b/>
                      <w:bCs/>
                      <w:sz w:val="20"/>
                      <w:szCs w:val="20"/>
                    </w:rPr>
                    <w:t>Patient-Centered Outcomes Research Institute Fee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2014: $1 PMPY</w:t>
                  </w:r>
                  <w:r w:rsidRPr="00FB2CBB">
                    <w:rPr>
                      <w:rFonts w:ascii="Arial" w:eastAsia="Times New Roman" w:hAnsi="Arial" w:cs="Arial"/>
                      <w:sz w:val="20"/>
                      <w:szCs w:val="20"/>
                    </w:rPr>
                    <w:br/>
                    <w:t>2015: $2 PMPY</w:t>
                  </w:r>
                  <w:r w:rsidRPr="00FB2CBB">
                    <w:rPr>
                      <w:rFonts w:ascii="Arial" w:eastAsia="Times New Roman" w:hAnsi="Arial" w:cs="Arial"/>
                      <w:sz w:val="20"/>
                      <w:szCs w:val="20"/>
                    </w:rPr>
                    <w:br/>
                    <w:t>2015-2019 $2 PMPY + medical inflation</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r>
            <w:tr w:rsidR="00FB2CBB" w:rsidRPr="00FB2CB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rPr>
                      <w:rFonts w:ascii="Arial" w:eastAsia="Times New Roman" w:hAnsi="Arial" w:cs="Arial"/>
                      <w:b/>
                      <w:bCs/>
                      <w:sz w:val="20"/>
                      <w:szCs w:val="20"/>
                    </w:rPr>
                  </w:pPr>
                  <w:r w:rsidRPr="00FB2CBB">
                    <w:rPr>
                      <w:rFonts w:ascii="Arial" w:eastAsia="Times New Roman" w:hAnsi="Arial" w:cs="Arial"/>
                      <w:b/>
                      <w:bCs/>
                      <w:sz w:val="20"/>
                      <w:szCs w:val="20"/>
                    </w:rPr>
                    <w:t>Exchange user fee</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3.5% of premium</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3.5% of premium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N/A</w:t>
                  </w:r>
                </w:p>
              </w:tc>
            </w:tr>
            <w:tr w:rsidR="00FB2CBB" w:rsidRPr="00FB2CBB">
              <w:trPr>
                <w:tblCellSpacing w:w="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jc w:val="center"/>
                    <w:rPr>
                      <w:rFonts w:ascii="Arial" w:eastAsia="Times New Roman" w:hAnsi="Arial" w:cs="Arial"/>
                      <w:b/>
                      <w:bCs/>
                      <w:sz w:val="20"/>
                      <w:szCs w:val="20"/>
                    </w:rPr>
                  </w:pPr>
                  <w:r w:rsidRPr="00FB2CBB">
                    <w:rPr>
                      <w:rFonts w:ascii="Arial" w:eastAsia="Times New Roman" w:hAnsi="Arial" w:cs="Arial"/>
                      <w:b/>
                      <w:bCs/>
                      <w:sz w:val="20"/>
                      <w:szCs w:val="20"/>
                    </w:rPr>
                    <w:t> </w:t>
                  </w:r>
                </w:p>
              </w:tc>
            </w:tr>
            <w:tr w:rsidR="00FB2CBB" w:rsidRPr="00FB2CB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rPr>
                      <w:rFonts w:ascii="Arial" w:eastAsia="Times New Roman" w:hAnsi="Arial" w:cs="Arial"/>
                      <w:b/>
                      <w:bCs/>
                      <w:sz w:val="20"/>
                      <w:szCs w:val="20"/>
                    </w:rPr>
                  </w:pPr>
                  <w:r w:rsidRPr="00FB2CBB">
                    <w:rPr>
                      <w:rFonts w:ascii="Arial" w:eastAsia="Times New Roman" w:hAnsi="Arial" w:cs="Arial"/>
                      <w:b/>
                      <w:bCs/>
                      <w:sz w:val="20"/>
                      <w:szCs w:val="20"/>
                    </w:rPr>
                    <w:t>Projected total cost based on 2013 premiums (reflected as PMPM) ^</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$8-10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$22-27 PPO $9-13 HMO</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$19-24 PPO $11-15 HMO</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$12-17 PPO $5-13 HMO</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$2-5</w:t>
                  </w:r>
                </w:p>
              </w:tc>
            </w:tr>
            <w:tr w:rsidR="00FB2CBB" w:rsidRPr="00FB2CB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3DCE3"/>
                  <w:vAlign w:val="center"/>
                  <w:hideMark/>
                </w:tcPr>
                <w:p w:rsidR="00FB2CBB" w:rsidRPr="00FB2CBB" w:rsidRDefault="00FB2CBB" w:rsidP="00FB2CBB">
                  <w:pPr>
                    <w:spacing w:after="0" w:line="240" w:lineRule="auto"/>
                    <w:rPr>
                      <w:rFonts w:ascii="Arial" w:eastAsia="Times New Roman" w:hAnsi="Arial" w:cs="Arial"/>
                      <w:b/>
                      <w:bCs/>
                      <w:sz w:val="20"/>
                      <w:szCs w:val="20"/>
                    </w:rPr>
                  </w:pPr>
                  <w:r w:rsidRPr="00FB2CBB">
                    <w:rPr>
                      <w:rFonts w:ascii="Arial" w:eastAsia="Times New Roman" w:hAnsi="Arial" w:cs="Arial"/>
                      <w:b/>
                      <w:bCs/>
                      <w:sz w:val="20"/>
                      <w:szCs w:val="20"/>
                    </w:rPr>
                    <w:t>If purchased on Exchange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t> </w:t>
                  </w:r>
                </w:p>
              </w:tc>
            </w:tr>
          </w:tbl>
          <w:p w:rsidR="00FB2CBB" w:rsidRPr="00FB2CBB" w:rsidRDefault="00FB2CBB" w:rsidP="00FB2CBB">
            <w:p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color w:val="343434"/>
                <w:sz w:val="18"/>
                <w:szCs w:val="18"/>
              </w:rPr>
              <w:t>PMPM = Per member per month</w:t>
            </w:r>
            <w:r w:rsidRPr="00FB2CBB">
              <w:rPr>
                <w:rFonts w:ascii="Arial" w:eastAsia="Times New Roman" w:hAnsi="Arial" w:cs="Arial"/>
                <w:color w:val="343434"/>
                <w:sz w:val="18"/>
                <w:szCs w:val="18"/>
              </w:rPr>
              <w:br/>
              <w:t>PMPY = Per member per year</w:t>
            </w:r>
          </w:p>
          <w:p w:rsidR="00FB2CBB" w:rsidRPr="00FB2CBB" w:rsidRDefault="00FB2CBB" w:rsidP="00FB2CBB">
            <w:pPr>
              <w:spacing w:before="100" w:beforeAutospacing="1" w:after="100" w:afterAutospacing="1" w:line="240" w:lineRule="auto"/>
              <w:rPr>
                <w:rFonts w:ascii="Arial" w:eastAsia="Times New Roman" w:hAnsi="Arial" w:cs="Arial"/>
                <w:color w:val="343434"/>
                <w:sz w:val="18"/>
                <w:szCs w:val="18"/>
              </w:rPr>
            </w:pPr>
            <w:r w:rsidRPr="00FB2CBB">
              <w:rPr>
                <w:rFonts w:ascii="Arial" w:eastAsia="Times New Roman" w:hAnsi="Arial" w:cs="Arial"/>
                <w:color w:val="343434"/>
                <w:sz w:val="18"/>
                <w:szCs w:val="18"/>
              </w:rPr>
              <w:t>*Final regulations are pending. Information noted is based on preliminary rules.</w:t>
            </w:r>
            <w:r w:rsidRPr="00FB2CBB">
              <w:rPr>
                <w:rFonts w:ascii="Arial" w:eastAsia="Times New Roman" w:hAnsi="Arial" w:cs="Arial"/>
                <w:color w:val="343434"/>
                <w:sz w:val="18"/>
                <w:szCs w:val="18"/>
              </w:rPr>
              <w:br/>
              <w:t>**Does not apply to grandfathered plans.</w:t>
            </w:r>
            <w:r w:rsidRPr="00FB2CBB">
              <w:rPr>
                <w:rFonts w:ascii="Arial" w:eastAsia="Times New Roman" w:hAnsi="Arial" w:cs="Arial"/>
                <w:color w:val="343434"/>
                <w:sz w:val="18"/>
                <w:szCs w:val="18"/>
              </w:rPr>
              <w:br/>
              <w:t>^Projected PMPM costs are based on fees assessed in 2014. These amounts are expected to increase.</w:t>
            </w:r>
          </w:p>
        </w:tc>
        <w:tc>
          <w:tcPr>
            <w:tcW w:w="675"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lastRenderedPageBreak/>
              <w:t> </w:t>
            </w:r>
          </w:p>
        </w:tc>
      </w:tr>
      <w:tr w:rsidR="00FB2CBB" w:rsidRPr="00FB2CBB" w:rsidTr="00FB2CBB">
        <w:trPr>
          <w:tblCellSpacing w:w="0" w:type="dxa"/>
        </w:trPr>
        <w:tc>
          <w:tcPr>
            <w:tcW w:w="675" w:type="dxa"/>
            <w:shd w:val="clear" w:color="auto" w:fill="FFFFFF"/>
            <w:vAlign w:val="center"/>
            <w:hideMark/>
          </w:tcPr>
          <w:p w:rsidR="00FB2CBB" w:rsidRPr="00FB2CBB" w:rsidRDefault="00FB2CBB" w:rsidP="00FB2CBB">
            <w:pPr>
              <w:spacing w:after="0" w:line="240" w:lineRule="auto"/>
              <w:rPr>
                <w:rFonts w:ascii="Arial" w:eastAsia="Times New Roman" w:hAnsi="Arial" w:cs="Arial"/>
                <w:sz w:val="20"/>
                <w:szCs w:val="20"/>
              </w:rPr>
            </w:pPr>
            <w:r w:rsidRPr="00FB2CBB">
              <w:rPr>
                <w:rFonts w:ascii="Arial" w:eastAsia="Times New Roman" w:hAnsi="Arial" w:cs="Arial"/>
                <w:sz w:val="20"/>
                <w:szCs w:val="20"/>
              </w:rPr>
              <w:lastRenderedPageBreak/>
              <w:t> </w:t>
            </w:r>
          </w:p>
        </w:tc>
        <w:tc>
          <w:tcPr>
            <w:tcW w:w="7650" w:type="dxa"/>
            <w:shd w:val="clear" w:color="auto" w:fill="FFFFFF"/>
            <w:vAlign w:val="center"/>
            <w:hideMark/>
          </w:tcPr>
          <w:tbl>
            <w:tblPr>
              <w:tblW w:w="5000" w:type="pct"/>
              <w:tblCellSpacing w:w="0" w:type="dxa"/>
              <w:tblCellMar>
                <w:left w:w="0" w:type="dxa"/>
                <w:right w:w="0" w:type="dxa"/>
              </w:tblCellMar>
              <w:tblLook w:val="04A0"/>
            </w:tblPr>
            <w:tblGrid>
              <w:gridCol w:w="7814"/>
            </w:tblGrid>
            <w:tr w:rsidR="00FB2CBB" w:rsidRPr="00FB2CBB">
              <w:trPr>
                <w:tblCellSpacing w:w="0" w:type="dxa"/>
              </w:trPr>
              <w:tc>
                <w:tcPr>
                  <w:tcW w:w="0" w:type="auto"/>
                  <w:vAlign w:val="center"/>
                  <w:hideMark/>
                </w:tcPr>
                <w:tbl>
                  <w:tblPr>
                    <w:tblW w:w="5000" w:type="pct"/>
                    <w:tblCellSpacing w:w="0" w:type="dxa"/>
                    <w:tblCellMar>
                      <w:left w:w="0" w:type="dxa"/>
                      <w:right w:w="0" w:type="dxa"/>
                    </w:tblCellMar>
                    <w:tblLook w:val="04A0"/>
                  </w:tblPr>
                  <w:tblGrid>
                    <w:gridCol w:w="7814"/>
                  </w:tblGrid>
                  <w:tr w:rsidR="00FB2CBB" w:rsidRPr="00FB2CBB">
                    <w:trPr>
                      <w:tblCellSpacing w:w="0" w:type="dxa"/>
                    </w:trPr>
                    <w:tc>
                      <w:tcPr>
                        <w:tcW w:w="0" w:type="auto"/>
                        <w:vAlign w:val="center"/>
                        <w:hideMark/>
                      </w:tcPr>
                      <w:p w:rsidR="00FB2CBB" w:rsidRPr="00FB2CBB" w:rsidRDefault="00FB2CBB" w:rsidP="00FB2CBB">
                        <w:pPr>
                          <w:spacing w:before="100" w:beforeAutospacing="1" w:after="100" w:afterAutospacing="1" w:line="240" w:lineRule="auto"/>
                          <w:rPr>
                            <w:rFonts w:ascii="Arial" w:eastAsia="Times New Roman" w:hAnsi="Arial" w:cs="Arial"/>
                            <w:sz w:val="20"/>
                            <w:szCs w:val="20"/>
                          </w:rPr>
                        </w:pPr>
                        <w:r w:rsidRPr="00FB2CBB">
                          <w:rPr>
                            <w:rFonts w:ascii="Arial" w:eastAsia="Times New Roman" w:hAnsi="Arial" w:cs="Arial"/>
                            <w:sz w:val="20"/>
                            <w:szCs w:val="20"/>
                          </w:rPr>
                          <w:t> </w:t>
                        </w:r>
                      </w:p>
                      <w:tbl>
                        <w:tblPr>
                          <w:tblW w:w="0" w:type="auto"/>
                          <w:tblCellSpacing w:w="0" w:type="dxa"/>
                          <w:shd w:val="clear" w:color="auto" w:fill="FEEDDD"/>
                          <w:tblCellMar>
                            <w:top w:w="90" w:type="dxa"/>
                            <w:left w:w="90" w:type="dxa"/>
                            <w:bottom w:w="90" w:type="dxa"/>
                            <w:right w:w="90" w:type="dxa"/>
                          </w:tblCellMar>
                          <w:tblLook w:val="04A0"/>
                        </w:tblPr>
                        <w:tblGrid>
                          <w:gridCol w:w="7814"/>
                        </w:tblGrid>
                        <w:tr w:rsidR="00FB2CBB" w:rsidRPr="00FB2CBB">
                          <w:trPr>
                            <w:tblCellSpacing w:w="0" w:type="dxa"/>
                          </w:trPr>
                          <w:tc>
                            <w:tcPr>
                              <w:tcW w:w="0" w:type="auto"/>
                              <w:shd w:val="clear" w:color="auto" w:fill="FEEDDD"/>
                              <w:hideMark/>
                            </w:tcPr>
                            <w:p w:rsidR="00FB2CBB" w:rsidRPr="00FB2CBB" w:rsidRDefault="00FB2CBB" w:rsidP="00FB2CBB">
                              <w:pPr>
                                <w:spacing w:before="100" w:beforeAutospacing="1" w:after="100" w:afterAutospacing="1" w:line="240" w:lineRule="auto"/>
                                <w:rPr>
                                  <w:rFonts w:ascii="Arial" w:eastAsia="Times New Roman" w:hAnsi="Arial" w:cs="Arial"/>
                                  <w:color w:val="343434"/>
                                  <w:sz w:val="17"/>
                                  <w:szCs w:val="17"/>
                                </w:rPr>
                              </w:pPr>
                              <w:r w:rsidRPr="00FB2CBB">
                                <w:rPr>
                                  <w:rFonts w:ascii="Arial" w:eastAsia="Times New Roman" w:hAnsi="Arial" w:cs="Arial"/>
                                  <w:color w:val="343434"/>
                                  <w:sz w:val="17"/>
                                  <w:szCs w:val="17"/>
                                </w:rPr>
                                <w:t>Priority Health provides these periodic updates to keep you informed of significant activities related to the Affordable Care Act (ACA). You may also access this information archived at our website</w:t>
                              </w:r>
                              <w:proofErr w:type="gramStart"/>
                              <w:r w:rsidRPr="00FB2CBB">
                                <w:rPr>
                                  <w:rFonts w:ascii="Arial" w:eastAsia="Times New Roman" w:hAnsi="Arial" w:cs="Arial"/>
                                  <w:color w:val="343434"/>
                                  <w:sz w:val="17"/>
                                  <w:szCs w:val="17"/>
                                </w:rPr>
                                <w:t>,</w:t>
                              </w:r>
                              <w:r w:rsidRPr="00FB2CBB">
                                <w:rPr>
                                  <w:rFonts w:ascii="Arial" w:eastAsia="Times New Roman" w:hAnsi="Arial" w:cs="Arial"/>
                                  <w:i/>
                                  <w:iCs/>
                                  <w:color w:val="343434"/>
                                  <w:sz w:val="17"/>
                                </w:rPr>
                                <w:t>priorityhealth.com</w:t>
                              </w:r>
                              <w:proofErr w:type="gramEnd"/>
                              <w:r w:rsidRPr="00FB2CBB">
                                <w:rPr>
                                  <w:rFonts w:ascii="Arial" w:eastAsia="Times New Roman" w:hAnsi="Arial" w:cs="Arial"/>
                                  <w:color w:val="343434"/>
                                  <w:sz w:val="17"/>
                                  <w:szCs w:val="17"/>
                                </w:rPr>
                                <w:t>. Send your questions about health reform to</w:t>
                              </w:r>
                              <w:hyperlink r:id="rId6" w:tgtFrame="_blank" w:history="1">
                                <w:r w:rsidRPr="00FB2CBB">
                                  <w:rPr>
                                    <w:rFonts w:ascii="Arial" w:eastAsia="Times New Roman" w:hAnsi="Arial" w:cs="Arial"/>
                                    <w:color w:val="006E45"/>
                                    <w:sz w:val="20"/>
                                    <w:u w:val="single"/>
                                  </w:rPr>
                                  <w:t>AskPriorityHealth@priorityhealth.com</w:t>
                                </w:r>
                              </w:hyperlink>
                              <w:r w:rsidRPr="00FB2CBB">
                                <w:rPr>
                                  <w:rFonts w:ascii="Arial" w:eastAsia="Times New Roman" w:hAnsi="Arial" w:cs="Arial"/>
                                  <w:color w:val="343434"/>
                                  <w:sz w:val="17"/>
                                  <w:szCs w:val="17"/>
                                </w:rPr>
                                <w:t>. We'll have our team of experts review and provide answers in a future Understanding Health Reform Update.</w:t>
                              </w:r>
                            </w:p>
                          </w:tc>
                        </w:tr>
                      </w:tbl>
                      <w:p w:rsidR="00FB2CBB" w:rsidRPr="00FB2CBB" w:rsidRDefault="00FB2CBB" w:rsidP="00FB2CBB">
                        <w:pPr>
                          <w:spacing w:after="0" w:line="240" w:lineRule="auto"/>
                          <w:rPr>
                            <w:rFonts w:ascii="Arial" w:eastAsia="Times New Roman" w:hAnsi="Arial" w:cs="Arial"/>
                            <w:sz w:val="20"/>
                            <w:szCs w:val="20"/>
                          </w:rPr>
                        </w:pPr>
                      </w:p>
                    </w:tc>
                  </w:tr>
                </w:tbl>
                <w:p w:rsidR="00FB2CBB" w:rsidRPr="00FB2CBB" w:rsidRDefault="00FB2CBB" w:rsidP="00FB2CBB">
                  <w:pPr>
                    <w:spacing w:after="0" w:line="240" w:lineRule="auto"/>
                    <w:rPr>
                      <w:rFonts w:ascii="Arial" w:eastAsia="Times New Roman" w:hAnsi="Arial" w:cs="Arial"/>
                      <w:sz w:val="20"/>
                      <w:szCs w:val="20"/>
                    </w:rPr>
                  </w:pPr>
                </w:p>
              </w:tc>
            </w:tr>
          </w:tbl>
          <w:p w:rsidR="00FB2CBB" w:rsidRPr="00FB2CBB" w:rsidRDefault="00FB2CBB" w:rsidP="00FB2CBB">
            <w:pPr>
              <w:spacing w:after="0" w:line="240" w:lineRule="auto"/>
              <w:rPr>
                <w:rFonts w:ascii="Arial" w:eastAsia="Times New Roman" w:hAnsi="Arial" w:cs="Arial"/>
                <w:color w:val="343434"/>
                <w:sz w:val="18"/>
                <w:szCs w:val="18"/>
              </w:rPr>
            </w:pPr>
          </w:p>
        </w:tc>
        <w:tc>
          <w:tcPr>
            <w:tcW w:w="0" w:type="auto"/>
            <w:shd w:val="clear" w:color="auto" w:fill="FFFFFF"/>
            <w:vAlign w:val="center"/>
            <w:hideMark/>
          </w:tcPr>
          <w:p w:rsidR="00FB2CBB" w:rsidRPr="00FB2CBB" w:rsidRDefault="00FB2CBB" w:rsidP="00FB2CBB">
            <w:pPr>
              <w:spacing w:after="0" w:line="240" w:lineRule="auto"/>
              <w:rPr>
                <w:rFonts w:ascii="Times New Roman" w:eastAsia="Times New Roman" w:hAnsi="Times New Roman" w:cs="Times New Roman"/>
                <w:sz w:val="20"/>
                <w:szCs w:val="20"/>
              </w:rPr>
            </w:pPr>
          </w:p>
        </w:tc>
      </w:tr>
    </w:tbl>
    <w:p w:rsidR="00FB2CBB" w:rsidRDefault="00FB2CBB"/>
    <w:sectPr w:rsidR="00FB2CBB" w:rsidSect="00946E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4512"/>
    <w:multiLevelType w:val="multilevel"/>
    <w:tmpl w:val="9720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CBB"/>
    <w:rsid w:val="00946ECB"/>
    <w:rsid w:val="00FB2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CBB"/>
    <w:rPr>
      <w:rFonts w:ascii="Tahoma" w:hAnsi="Tahoma" w:cs="Tahoma"/>
      <w:sz w:val="16"/>
      <w:szCs w:val="16"/>
    </w:rPr>
  </w:style>
  <w:style w:type="character" w:customStyle="1" w:styleId="apple-converted-space">
    <w:name w:val="apple-converted-space"/>
    <w:basedOn w:val="DefaultParagraphFont"/>
    <w:rsid w:val="00FB2CBB"/>
  </w:style>
  <w:style w:type="paragraph" w:styleId="NormalWeb">
    <w:name w:val="Normal (Web)"/>
    <w:basedOn w:val="Normal"/>
    <w:uiPriority w:val="99"/>
    <w:unhideWhenUsed/>
    <w:rsid w:val="00FB2C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2CBB"/>
    <w:rPr>
      <w:i/>
      <w:iCs/>
    </w:rPr>
  </w:style>
  <w:style w:type="character" w:styleId="Hyperlink">
    <w:name w:val="Hyperlink"/>
    <w:basedOn w:val="DefaultParagraphFont"/>
    <w:uiPriority w:val="99"/>
    <w:semiHidden/>
    <w:unhideWhenUsed/>
    <w:rsid w:val="00FB2CBB"/>
    <w:rPr>
      <w:color w:val="0000FF"/>
      <w:u w:val="single"/>
    </w:rPr>
  </w:style>
</w:styles>
</file>

<file path=word/webSettings.xml><?xml version="1.0" encoding="utf-8"?>
<w:webSettings xmlns:r="http://schemas.openxmlformats.org/officeDocument/2006/relationships" xmlns:w="http://schemas.openxmlformats.org/wordprocessingml/2006/main">
  <w:divs>
    <w:div w:id="6866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gue.llcoop.org/cgi-bin/openwebmail/openwebmail-send.pl?sessionid=sandra*rogue.llcoop.org-session-0.686533112169371&amp;folder=INBOX&amp;page=1&amp;longpage=0&amp;sort=date_rev&amp;msgdatetype=sentdate&amp;keyword=&amp;searchtype=subject&amp;action=composemessage&amp;message_id=%3Ca4fc827c-4a10-4097-99ee-10584c80acb1%40xtinmta4140.xt.local%3E&amp;compose_caller=read&amp;to=askpriorityhealth@priorityhealth.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3353</Characters>
  <Application>Microsoft Office Word</Application>
  <DocSecurity>0</DocSecurity>
  <Lines>27</Lines>
  <Paragraphs>7</Paragraphs>
  <ScaleCrop>false</ScaleCrop>
  <Company>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2013-01-31T16:30:00Z</dcterms:created>
  <dcterms:modified xsi:type="dcterms:W3CDTF">2013-01-31T16:31:00Z</dcterms:modified>
</cp:coreProperties>
</file>