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64" w:lineRule="auto"/>
      </w:pPr>
      <w:r>
        <w:drawing>
          <wp:anchor distT="152400" distB="152400" distL="152400" distR="152400" simplePos="0" relativeHeight="251659264" behindDoc="0" locked="0" layoutInCell="1" allowOverlap="1">
            <wp:simplePos x="0" y="0"/>
            <wp:positionH relativeFrom="page">
              <wp:posOffset>908050</wp:posOffset>
            </wp:positionH>
            <wp:positionV relativeFrom="page">
              <wp:posOffset>640080</wp:posOffset>
            </wp:positionV>
            <wp:extent cx="2239960" cy="839985"/>
            <wp:effectExtent l="0" t="0" r="0" b="0"/>
            <wp:wrapThrough wrapText="bothSides" distL="152400" distR="152400">
              <wp:wrapPolygon edited="1">
                <wp:start x="0" y="0"/>
                <wp:lineTo x="21600" y="0"/>
                <wp:lineTo x="21600" y="21600"/>
                <wp:lineTo x="0" y="21600"/>
                <wp:lineTo x="0" y="0"/>
              </wp:wrapPolygon>
            </wp:wrapThrough>
            <wp:docPr id="1073741825" name="officeArt object" descr="MiHumanities_2-col-Logo-web-400x150.jpg"/>
            <wp:cNvGraphicFramePr/>
            <a:graphic xmlns:a="http://schemas.openxmlformats.org/drawingml/2006/main">
              <a:graphicData uri="http://schemas.openxmlformats.org/drawingml/2006/picture">
                <pic:pic xmlns:pic="http://schemas.openxmlformats.org/drawingml/2006/picture">
                  <pic:nvPicPr>
                    <pic:cNvPr id="1073741825" name="MiHumanities_2-col-Logo-web-400x150.jpg" descr="MiHumanities_2-col-Logo-web-400x150.jpg"/>
                    <pic:cNvPicPr>
                      <a:picLocks noChangeAspect="1"/>
                    </pic:cNvPicPr>
                  </pic:nvPicPr>
                  <pic:blipFill>
                    <a:blip r:embed="rId4">
                      <a:extLst/>
                    </a:blip>
                    <a:stretch>
                      <a:fillRect/>
                    </a:stretch>
                  </pic:blipFill>
                  <pic:spPr>
                    <a:xfrm>
                      <a:off x="0" y="0"/>
                      <a:ext cx="2239960" cy="839985"/>
                    </a:xfrm>
                    <a:prstGeom prst="rect">
                      <a:avLst/>
                    </a:prstGeom>
                    <a:ln w="12700" cap="flat">
                      <a:noFill/>
                      <a:miter lim="400000"/>
                    </a:ln>
                    <a:effectLst/>
                  </pic:spPr>
                </pic:pic>
              </a:graphicData>
            </a:graphic>
          </wp:anchor>
        </w:drawing>
      </w:r>
    </w:p>
    <w:p>
      <w:pPr>
        <w:pStyle w:val="Body A"/>
        <w:spacing w:line="264" w:lineRule="auto"/>
      </w:pPr>
    </w:p>
    <w:p>
      <w:pPr>
        <w:pStyle w:val="Body A"/>
        <w:spacing w:line="264" w:lineRule="auto"/>
      </w:pPr>
    </w:p>
    <w:p>
      <w:pPr>
        <w:pStyle w:val="Body A"/>
        <w:spacing w:line="264" w:lineRule="auto"/>
      </w:pPr>
    </w:p>
    <w:p>
      <w:pPr>
        <w:pStyle w:val="Body A"/>
        <w:spacing w:line="264" w:lineRule="auto"/>
      </w:pPr>
    </w:p>
    <w:p>
      <w:pPr>
        <w:pStyle w:val="Body A"/>
        <w:spacing w:line="264" w:lineRule="auto"/>
      </w:pPr>
      <w:r>
        <w:rPr>
          <w:rtl w:val="0"/>
          <w:lang w:val="en-US"/>
        </w:rPr>
        <w:t>2364 Woodlake Drive, Suite 100</w:t>
      </w:r>
    </w:p>
    <w:p>
      <w:pPr>
        <w:pStyle w:val="Body A"/>
        <w:spacing w:line="264" w:lineRule="auto"/>
      </w:pPr>
      <w:r>
        <w:rPr>
          <w:rtl w:val="0"/>
          <w:lang w:val="en-US"/>
        </w:rPr>
        <w:t>Okemos, MI 48864</w:t>
      </w:r>
    </w:p>
    <w:p>
      <w:pPr>
        <w:pStyle w:val="Body A"/>
        <w:spacing w:line="264" w:lineRule="auto"/>
      </w:pPr>
    </w:p>
    <w:p>
      <w:pPr>
        <w:pStyle w:val="Body A"/>
        <w:spacing w:line="264" w:lineRule="auto"/>
        <w:jc w:val="center"/>
        <w:rPr>
          <w:i w:val="1"/>
          <w:iCs w:val="1"/>
        </w:rPr>
      </w:pPr>
      <w:r>
        <w:rPr>
          <w:i w:val="1"/>
          <w:iCs w:val="1"/>
          <w:rtl w:val="0"/>
          <w:lang w:val="en-US"/>
        </w:rPr>
        <w:t>Arts and Humanities Touring grant applications open November 15th</w:t>
      </w:r>
    </w:p>
    <w:p>
      <w:pPr>
        <w:pStyle w:val="Body A"/>
        <w:spacing w:line="264" w:lineRule="auto"/>
      </w:pPr>
    </w:p>
    <w:p>
      <w:pPr>
        <w:pStyle w:val="Body A"/>
        <w:spacing w:line="264" w:lineRule="auto"/>
        <w:rPr>
          <w:b w:val="1"/>
          <w:bCs w:val="1"/>
        </w:rPr>
      </w:pPr>
      <w:r>
        <w:rPr>
          <w:b w:val="1"/>
          <w:bCs w:val="1"/>
          <w:rtl w:val="0"/>
          <w:lang w:val="en-US"/>
        </w:rPr>
        <w:t>For immediate release</w:t>
      </w:r>
    </w:p>
    <w:p>
      <w:pPr>
        <w:pStyle w:val="Body A"/>
        <w:spacing w:line="264" w:lineRule="auto"/>
        <w:rPr>
          <w:b w:val="1"/>
          <w:bCs w:val="1"/>
        </w:rPr>
      </w:pPr>
      <w:r>
        <w:rPr>
          <w:b w:val="1"/>
          <w:bCs w:val="1"/>
          <w:rtl w:val="0"/>
          <w:lang w:val="en-US"/>
        </w:rPr>
        <w:t>November 13, 2020</w:t>
      </w:r>
    </w:p>
    <w:p>
      <w:pPr>
        <w:pStyle w:val="Body A"/>
        <w:spacing w:line="264" w:lineRule="auto"/>
      </w:pPr>
    </w:p>
    <w:p>
      <w:pPr>
        <w:pStyle w:val="Body A"/>
        <w:spacing w:line="264" w:lineRule="auto"/>
        <w:rPr>
          <w:lang w:val="en-US"/>
        </w:rPr>
      </w:pPr>
      <w:r>
        <w:rPr>
          <w:rtl w:val="0"/>
          <w:lang w:val="en-US"/>
        </w:rPr>
        <w:t>Okemos</w:t>
      </w:r>
      <w:r>
        <w:rPr>
          <w:rtl w:val="0"/>
          <w:lang w:val="en-US"/>
        </w:rPr>
        <w:t>—</w:t>
      </w:r>
      <w:r>
        <w:rPr>
          <w:rtl w:val="0"/>
          <w:lang w:val="en-US"/>
        </w:rPr>
        <w:t xml:space="preserve">Michigan Humanities is pleased to announce </w:t>
      </w:r>
      <w:r>
        <w:rPr>
          <w:rtl w:val="0"/>
          <w:lang w:val="en-US"/>
        </w:rPr>
        <w:t>that applications for the Arts and Humanities Touring grant program will open on November 15th for performances that will take place between December 1, 2020 and February 28, 2021.  The Arts and Humanities Touring grant program provides funding to Michigan nonprofits that engage with Michigan based artists to present community programming.  The funding award will fund 40% of a performer</w:t>
      </w:r>
      <w:r>
        <w:rPr>
          <w:rtl w:val="0"/>
          <w:lang w:val="en-US"/>
        </w:rPr>
        <w:t>’</w:t>
      </w:r>
      <w:r>
        <w:rPr>
          <w:rtl w:val="0"/>
          <w:lang w:val="en-US"/>
        </w:rPr>
        <w:t xml:space="preserve">s fees and travel up to $3,000. Virtual programming is eligible for funding.  A list of Michigan artists can be found on the Michigan Humanities website.  </w:t>
      </w:r>
    </w:p>
    <w:p>
      <w:pPr>
        <w:pStyle w:val="Body A"/>
        <w:spacing w:line="264" w:lineRule="auto"/>
        <w:rPr>
          <w:lang w:val="en-US"/>
        </w:rPr>
      </w:pPr>
    </w:p>
    <w:p>
      <w:pPr>
        <w:pStyle w:val="Body A"/>
        <w:spacing w:line="264" w:lineRule="auto"/>
      </w:pPr>
      <w:r>
        <w:rPr>
          <w:rtl w:val="0"/>
          <w:lang w:val="en-US"/>
        </w:rPr>
        <w:t xml:space="preserve">This program is a partnership between the Michigan Council for Arts and Cultural Affairs, and Michigan Humanities.  Each year this program provides funding to over 150 Michigan nonprofits in over 60 counties, reaching over 60,000 Michiganders.  </w:t>
      </w:r>
    </w:p>
    <w:p>
      <w:pPr>
        <w:pStyle w:val="Body A"/>
        <w:spacing w:line="264" w:lineRule="auto"/>
      </w:pPr>
    </w:p>
    <w:p>
      <w:pPr>
        <w:pStyle w:val="Body A"/>
        <w:spacing w:line="264" w:lineRule="auto"/>
      </w:pPr>
      <w:r>
        <w:rPr>
          <w:rtl w:val="0"/>
          <w:lang w:val="en-US"/>
        </w:rPr>
        <w:t xml:space="preserve">For more information about this, and other funding opportunities and programs, please visit the Michigan Humanities website at </w:t>
      </w:r>
      <w:r>
        <w:rPr>
          <w:rStyle w:val="Hyperlink.0"/>
        </w:rPr>
        <w:fldChar w:fldCharType="begin" w:fldLock="0"/>
      </w:r>
      <w:r>
        <w:rPr>
          <w:rStyle w:val="Hyperlink.0"/>
        </w:rPr>
        <w:instrText xml:space="preserve"> HYPERLINK "http://www.michiganhumanities.org"</w:instrText>
      </w:r>
      <w:r>
        <w:rPr>
          <w:rStyle w:val="Hyperlink.0"/>
        </w:rPr>
        <w:fldChar w:fldCharType="separate" w:fldLock="0"/>
      </w:r>
      <w:r>
        <w:rPr>
          <w:rStyle w:val="Hyperlink.0"/>
          <w:rtl w:val="0"/>
          <w:lang w:val="en-US"/>
        </w:rPr>
        <w:t>www.michiganhumanities.org</w:t>
      </w:r>
      <w:r>
        <w:rPr/>
        <w:fldChar w:fldCharType="end" w:fldLock="0"/>
      </w:r>
      <w:r>
        <w:rPr>
          <w:rStyle w:val="None"/>
          <w:rtl w:val="0"/>
          <w:lang w:val="en-US"/>
        </w:rPr>
        <w:t xml:space="preserve">.  </w:t>
      </w:r>
    </w:p>
    <w:p>
      <w:pPr>
        <w:pStyle w:val="Body A"/>
        <w:rPr>
          <w:rStyle w:val="None"/>
          <w:u w:color="000000"/>
        </w:rPr>
      </w:pPr>
    </w:p>
    <w:p>
      <w:pPr>
        <w:pStyle w:val="Body A"/>
        <w:rPr>
          <w:rStyle w:val="None"/>
          <w:u w:color="000000"/>
          <w:lang w:val="en-US"/>
        </w:rPr>
      </w:pPr>
      <w:r>
        <w:rPr>
          <w:rStyle w:val="None"/>
          <w:b w:val="1"/>
          <w:bCs w:val="1"/>
          <w:u w:color="000000"/>
          <w:rtl w:val="0"/>
          <w:lang w:val="en-US"/>
        </w:rPr>
        <w:t>About Michigan Humanities</w:t>
      </w:r>
      <w:r>
        <w:rPr>
          <w:rStyle w:val="None"/>
          <w:b w:val="1"/>
          <w:bCs w:val="1"/>
          <w:u w:color="000000"/>
        </w:rPr>
        <w:br w:type="textWrapping"/>
      </w:r>
      <w:r>
        <w:rPr>
          <w:rStyle w:val="None"/>
          <w:u w:color="000000"/>
          <w:rtl w:val="0"/>
          <w:lang w:val="en-US"/>
        </w:rPr>
        <w:t>Michigan Humanities inspires Michiganders to come together in creative and freely expressed ways to deepen our understanding of ourselves and enrich our communities. In carrying out this mission, Michigan Humanities builds awareness and excitement for humanities in everyday life, achieves best practices and sustainability for all humanities programs and services in Michigan, and upholds the following key values:</w:t>
      </w:r>
    </w:p>
    <w:p>
      <w:pPr>
        <w:pStyle w:val="Body A"/>
        <w:rPr>
          <w:rStyle w:val="None"/>
          <w:b w:val="1"/>
          <w:bCs w:val="1"/>
          <w:u w:color="000000"/>
        </w:rPr>
      </w:pPr>
    </w:p>
    <w:p>
      <w:pPr>
        <w:pStyle w:val="Default"/>
        <w:numPr>
          <w:ilvl w:val="0"/>
          <w:numId w:val="2"/>
        </w:numPr>
        <w:shd w:val="clear" w:color="auto" w:fill="ffffff"/>
        <w:bidi w:val="0"/>
        <w:spacing w:before="0" w:after="160" w:line="259" w:lineRule="auto"/>
        <w:ind w:right="0"/>
        <w:jc w:val="left"/>
        <w:rPr>
          <w:sz w:val="22"/>
          <w:szCs w:val="22"/>
          <w:rtl w:val="0"/>
          <w:lang w:val="en-US"/>
        </w:rPr>
      </w:pPr>
      <w:r>
        <w:rPr>
          <w:rStyle w:val="None"/>
          <w:sz w:val="22"/>
          <w:szCs w:val="22"/>
          <w:u w:color="000000"/>
          <w:rtl w:val="0"/>
          <w:lang w:val="en-US"/>
        </w:rPr>
        <w:t>Inclusion, diversity, and equity</w:t>
      </w:r>
    </w:p>
    <w:p>
      <w:pPr>
        <w:pStyle w:val="Default"/>
        <w:numPr>
          <w:ilvl w:val="0"/>
          <w:numId w:val="2"/>
        </w:numPr>
        <w:shd w:val="clear" w:color="auto" w:fill="ffffff"/>
        <w:bidi w:val="0"/>
        <w:spacing w:before="0" w:after="160" w:line="259" w:lineRule="auto"/>
        <w:ind w:right="0"/>
        <w:jc w:val="left"/>
        <w:rPr>
          <w:sz w:val="22"/>
          <w:szCs w:val="22"/>
          <w:rtl w:val="0"/>
          <w:lang w:val="en-US"/>
        </w:rPr>
      </w:pPr>
      <w:r>
        <w:rPr>
          <w:rStyle w:val="None"/>
          <w:sz w:val="22"/>
          <w:szCs w:val="22"/>
          <w:u w:color="000000"/>
          <w:rtl w:val="0"/>
          <w:lang w:val="en-US"/>
        </w:rPr>
        <w:t>Discovery and understanding</w:t>
      </w:r>
    </w:p>
    <w:p>
      <w:pPr>
        <w:pStyle w:val="Default"/>
        <w:numPr>
          <w:ilvl w:val="0"/>
          <w:numId w:val="2"/>
        </w:numPr>
        <w:shd w:val="clear" w:color="auto" w:fill="ffffff"/>
        <w:bidi w:val="0"/>
        <w:spacing w:before="0" w:after="160" w:line="259" w:lineRule="auto"/>
        <w:ind w:right="0"/>
        <w:jc w:val="left"/>
        <w:rPr>
          <w:sz w:val="22"/>
          <w:szCs w:val="22"/>
          <w:rtl w:val="0"/>
          <w:lang w:val="en-US"/>
        </w:rPr>
      </w:pPr>
      <w:r>
        <w:rPr>
          <w:rStyle w:val="None"/>
          <w:sz w:val="22"/>
          <w:szCs w:val="22"/>
          <w:u w:color="000000"/>
          <w:rtl w:val="0"/>
          <w:lang w:val="en-US"/>
        </w:rPr>
        <w:t>Authentic conversation</w:t>
      </w:r>
    </w:p>
    <w:p>
      <w:pPr>
        <w:pStyle w:val="Default"/>
        <w:numPr>
          <w:ilvl w:val="0"/>
          <w:numId w:val="2"/>
        </w:numPr>
        <w:shd w:val="clear" w:color="auto" w:fill="ffffff"/>
        <w:bidi w:val="0"/>
        <w:spacing w:before="0" w:after="160" w:line="259" w:lineRule="auto"/>
        <w:ind w:right="0"/>
        <w:jc w:val="left"/>
        <w:rPr>
          <w:sz w:val="22"/>
          <w:szCs w:val="22"/>
          <w:rtl w:val="0"/>
          <w:lang w:val="en-US"/>
        </w:rPr>
      </w:pPr>
      <w:r>
        <w:rPr>
          <w:rStyle w:val="None"/>
          <w:sz w:val="22"/>
          <w:szCs w:val="22"/>
          <w:u w:color="000000"/>
          <w:rtl w:val="0"/>
          <w:lang w:val="en-US"/>
        </w:rPr>
        <w:t>Respectful collaboration</w:t>
      </w:r>
    </w:p>
    <w:p>
      <w:pPr>
        <w:pStyle w:val="Default"/>
        <w:numPr>
          <w:ilvl w:val="0"/>
          <w:numId w:val="2"/>
        </w:numPr>
        <w:shd w:val="clear" w:color="auto" w:fill="ffffff"/>
        <w:bidi w:val="0"/>
        <w:spacing w:before="0" w:after="160"/>
        <w:ind w:right="0"/>
        <w:jc w:val="left"/>
        <w:rPr>
          <w:sz w:val="22"/>
          <w:szCs w:val="22"/>
          <w:rtl w:val="0"/>
          <w:lang w:val="en-US"/>
        </w:rPr>
      </w:pPr>
      <w:r>
        <w:rPr>
          <w:rStyle w:val="None"/>
          <w:sz w:val="22"/>
          <w:szCs w:val="22"/>
          <w:u w:color="000000"/>
          <w:rtl w:val="0"/>
          <w:lang w:val="en-US"/>
        </w:rPr>
        <w:t>Meaningful experiences</w:t>
      </w:r>
    </w:p>
    <w:p>
      <w:pPr>
        <w:pStyle w:val="Body A"/>
        <w:shd w:val="clear" w:color="auto" w:fill="ffffff"/>
        <w:spacing w:after="160" w:line="259" w:lineRule="auto"/>
        <w:rPr>
          <w:rStyle w:val="None"/>
          <w:u w:color="000000"/>
        </w:rPr>
      </w:pPr>
      <w:r>
        <w:rPr>
          <w:rStyle w:val="None"/>
          <w:u w:color="000000"/>
          <w:rtl w:val="0"/>
          <w:lang w:val="en-US"/>
        </w:rPr>
        <w:t>Michigan Humanities</w:t>
      </w:r>
      <w:r>
        <w:rPr>
          <w:rStyle w:val="None"/>
          <w:u w:color="000000"/>
          <w:rtl w:val="0"/>
          <w:lang w:val="en-US"/>
        </w:rPr>
        <w:t xml:space="preserve">’ </w:t>
      </w:r>
      <w:r>
        <w:rPr>
          <w:rStyle w:val="None"/>
          <w:u w:color="000000"/>
          <w:rtl w:val="0"/>
          <w:lang w:val="en-US"/>
        </w:rPr>
        <w:t>vision is for all people of Michigan to experience and understand the importance of humanities to enrich lives.</w:t>
      </w:r>
    </w:p>
    <w:p>
      <w:pPr>
        <w:pStyle w:val="Body A"/>
        <w:spacing w:line="264" w:lineRule="auto"/>
        <w:jc w:val="center"/>
      </w:pPr>
      <w:r>
        <w:rPr>
          <w:rStyle w:val="None"/>
          <w:rtl w:val="0"/>
          <w:lang w:val="en-US"/>
        </w:rPr>
        <w: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7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3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9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6" w:hanging="39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lang w:val="en-US"/>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